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февраля 2015 г. N 36268</w:t>
      </w:r>
    </w:p>
    <w:p w:rsidR="006E0F0D" w:rsidRDefault="006E0F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февраля 2015 г. N 36ан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ДИСПАНСЕРИЗАЦИИ ОПРЕДЕЛЕННЫХ ГРУПП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ВЗРОСЛОГО НАСЕЛЕНИЯ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(2011, N 48, ст. 6724; 2013, N 48, ст. 6165) приказываю: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диспансеризации определенных групп взрослого населения согласно приложению.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3 декабря 2012 г. N 1006н "Об утверждении порядка проведения диспансеризации определенных групп взрослого населения" (зарегистрирован в Министерстве юстиции Российской Федерации 1 апреля 2013 г., регистрационный N 27930).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апреля 2015 года.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Врио Министра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Д.В.КОСТЕННИКОВ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ДИСПАНСЕРИЗАЦИИ ОПРЕДЕЛЕННЫХ ГРУПП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ВЗРОСЛОГО НАСЕЛЕНИЯ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регулирует вопросы, связанные с проведением в медицинских организациях диспансеризации следующих групп взрослого населения (в возрасте от 18 лет и старше):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работающие граждане;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неработающие граждане;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обучающиеся в образовательных организациях по очной форме.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диспансеризации отдельных категорий граждан.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осуществляемых в отношении определенных групп населения в соответствии с законодательством </w:t>
      </w:r>
      <w:r>
        <w:rPr>
          <w:rFonts w:ascii="Calibri" w:hAnsi="Calibri" w:cs="Calibri"/>
        </w:rPr>
        <w:lastRenderedPageBreak/>
        <w:t>Российской Федерации &lt;1&gt;.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Статья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48, ст. 6165).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Диспансеризация взрослого населения проводится путем углубленного обследования состояния здоровья граждан в целях: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раннего выявления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основных факторов риска их развития (повышенный уровень артериального давления, дислипидемия,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определения группы состояния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граждан с иными заболеваниями (состояниями), а также для здоровых граждан;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проведения краткого профилактического консультирования граждан с выявленными хроническими неинфекционными заболеваниями и (или) факторами риска их развития, здоровых граждан, а также проведения индивидуального углубленного профилактического консультирования и группового профилактического консультирования (школ пациента) граждан с высоким и очень высоким суммарным сердечно-сосудистым риском;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определения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сердечно-сосудистым риском.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Диспансеризация проводится 1 раз в 3 года в возрастные периоды, предусмотренные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 &lt;1&gt;, за исключением: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Годом прохождения диспансеризации считается календарный год, в котором гражданин достигает соответствующего возраста.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1)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подпунктом 11 пункта 1 статьи 14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пунктом 2 статьи 15</w:t>
        </w:r>
      </w:hyperlink>
      <w:r>
        <w:rPr>
          <w:rFonts w:ascii="Calibri" w:hAnsi="Calibri" w:cs="Calibri"/>
        </w:rPr>
        <w:t xml:space="preserve"> Федерального закона от 12 января 1995 г. N 5-ФЗ "О ветеранах" (Собрание законодательства Российской Федерации, 1995, N 3, ст. 168; 2002, N 30, ст. 3033; 2004, N 25, ст. 2480; N 35, ст. 3607; 2005, N 19, ст. 1748; 2008, N 30, ст. 3609; 2009, N 26, ст. 3133; N 30, ст. 3739; N 52, ст. 6403; 2010, N 19, ст. 2287; N 27, ст. 3433; N 31, ст. 4206; N 50, ст. 6609; 2011, N 47, ст. 6608; 2013, N 27, ст. 3477; N 48, ст. 6165; 2014, N 52, ст. 7537).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подпунктом 1 пункта 2 статьи 18</w:t>
        </w:r>
      </w:hyperlink>
      <w:r>
        <w:rPr>
          <w:rFonts w:ascii="Calibri" w:hAnsi="Calibri" w:cs="Calibri"/>
        </w:rPr>
        <w:t xml:space="preserve"> Федерального закона от 12 января 1995 г. N 5-ФЗ "О ветеранах" (Собрание законодательства Российской Федерации, 1995, N 3, ст. 168; 2000, N 19, ст. 2023; 2004, N 35, ст. 3607; 2005, N 1, ст. 25; N 19, ст. 1748; 2009, N 26, ст. 3133; N 52, ст. 6403; 2010, N 19, ст. 2287; N 31, ст. 4206; N 50, ст. 6609; 2013, N 48, ст. 6165).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"/>
      <w:bookmarkEnd w:id="4"/>
      <w:r>
        <w:rPr>
          <w:rFonts w:ascii="Calibri" w:hAnsi="Calibri" w:cs="Calibri"/>
        </w:rPr>
        <w:lastRenderedPageBreak/>
        <w:t>3)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&lt;1&gt;.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8 статьи 154</w:t>
        </w:r>
      </w:hyperlink>
      <w:r>
        <w:rPr>
          <w:rFonts w:ascii="Calibri" w:hAnsi="Calibri" w:cs="Calibri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2013, N 14, ст. 1654).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в </w:t>
      </w:r>
      <w:hyperlink w:anchor="Par52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6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 категории граждан проходят диспансеризацию ежегодно вне зависимости от возраста.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Перечень осмотров (консультаций) врачами-специалистами (фельдшером или акушеркой), исследований и иных медицинских мероприятий, проводимых в рамках диспансеризации в зависимости от возраста и пола гражданина (объем диспансеризации), определяется в соответствии с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Диспансеризация граждан, указанных в </w:t>
      </w:r>
      <w:hyperlink w:anchor="Par52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60" w:history="1">
        <w:r>
          <w:rPr>
            <w:rFonts w:ascii="Calibri" w:hAnsi="Calibri" w:cs="Calibri"/>
            <w:color w:val="0000FF"/>
          </w:rPr>
          <w:t>3 пункта 4</w:t>
        </w:r>
      </w:hyperlink>
      <w:r>
        <w:rPr>
          <w:rFonts w:ascii="Calibri" w:hAnsi="Calibri" w:cs="Calibri"/>
        </w:rPr>
        <w:t xml:space="preserve"> настоящего Порядка, проводится в объеме, соответствующем объему диспансеризации, предусмотренному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 для граждан ближайшей возрастной категории, за исключением исследований, имеющих медицинские противопоказания к ежегодному проведению &lt;1&gt;.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Флюорография легких и маммография проводятся 1 раз в 2 года, мазок (соскоб) с поверхности шейки матки (наружного маточного зева) и цервикального канала на цитологическое исследование проводится 1 раз в 3 года.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Диспансеризация взрослого населения проводится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участвующими в реализации </w:t>
      </w:r>
      <w:hyperlink r:id="rId13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помощи, при наличии лицензии на осуществление медицинской деятельности, предусматривающей работы (услуги) по "медицинским осмотрам профилактическим", "терапии", "акушерству и гинекологии" &lt;1&gt; или "акушерству и гинекологии (за исключением вспомогательных репродуктивных технологий)", "акушерскому делу" или "лечебному делу", "офтальмологии", "неврологии", "хирургии", "рентгенологии", "клинической лабораторной диагностике" или "лабораторной диагностике", "функциональной диагностике", "ультразвуковой диагностике", "эндоскопии".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Для лицензий на осуществление медицинской деятельности, выданных до вступления в силу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5002; 2013, N 3, ст. 207; N 16, ст. 1970).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у медицинской организации, осуществляющей диспансеризацию, лицензии на осуществление медицинской деятельности по отдельным видам работ (услуг), необходимым для проведения диспансеризации в полном объеме, медицинская организация </w:t>
      </w:r>
      <w:r>
        <w:rPr>
          <w:rFonts w:ascii="Calibri" w:hAnsi="Calibri" w:cs="Calibri"/>
        </w:rPr>
        <w:lastRenderedPageBreak/>
        <w:t>заключает договор с иной медицинской организацией, имеющей лицензию на требуемые виды работ (услуг), о привлечении соответствующих медицинских работников к проведению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Гражданин проходит диспансеризацию в медицинской организации, в которой он получает первичную медико-санитарную помощь.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Диспансеризация проводится при наличии информированного добровольного согласия гражданина или его </w:t>
      </w:r>
      <w:hyperlink r:id="rId15" w:history="1">
        <w:r>
          <w:rPr>
            <w:rFonts w:ascii="Calibri" w:hAnsi="Calibri" w:cs="Calibri"/>
            <w:color w:val="0000FF"/>
          </w:rPr>
          <w:t>законного представителя</w:t>
        </w:r>
      </w:hyperlink>
      <w:r>
        <w:rPr>
          <w:rFonts w:ascii="Calibri" w:hAnsi="Calibri" w:cs="Calibri"/>
        </w:rPr>
        <w:t xml:space="preserve"> (в отношении лица, признанного в установленном законом </w:t>
      </w:r>
      <w:hyperlink r:id="rId16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недееспособным, если такое лицо по своему состоянию не способно дать согласие на медицинское вмешательство), данного с соблюдением требований, установленных </w:t>
      </w:r>
      <w:hyperlink r:id="rId17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Гражданин вправе отказаться от проведения диспансеризации в целом либо от отдельных видов медицинских вмешательств, входящих в объем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Руководитель медицинской организации и медицинские работники отделения (кабинета) медицинской профилактики (в том числе входящего в состав центра здоровья) являются ответственными за организацию и проведение диспансеризации населения, находящегося на медицинском обслуживании в медицинской организации.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Врач-терапевт (врач-терапевт участковый, врач-терапевт цехового врачебного участка, врач общей практики (семейный врач)) (далее - врач-терапевт) является ответственным за организацию и проведение диспансеризации населения терапевтического, в том числе цехового, участка (участка врача общей практики (семейного врача)), обслуживаемой территории (далее - участок).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Фельдшер фельдшерского здравпункта или фельдшерско-акушерского пункта является ответственным за проведение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диспансеризации, в </w:t>
      </w:r>
      <w:hyperlink r:id="rId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Основными задачами фельдшера фельдшерского здравпункта или фельдшерско-акушерского пункта при проведении диспансеризации являются: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составление списков граждан,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активное привлечение населения 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инструктаж граждан, прибывших на диспансеризацию, о порядке ее прохождения, объеме и последовательности проведения обследования;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выполнение доврачебных медицинских исследований первого этапа диспансеризации (опрос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врача, антропометрия, расчет индекса массы тела, измерение артериального давления, а также определение уровня общего холестерина и уровня глюкозы в крови экспресс-методом, измерение внутриглазного давления бесконтактным методом, осмотр фельдшером, включая </w:t>
      </w:r>
      <w:r>
        <w:rPr>
          <w:rFonts w:ascii="Calibri" w:hAnsi="Calibri" w:cs="Calibri"/>
        </w:rPr>
        <w:lastRenderedPageBreak/>
        <w:t>взятие мазка (соскоба) с поверхности шейки матки (наружного маточного зева) и цервикального канала на цитологическое исследование)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При наличии необходимого оборудования.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определение факторов риска хронических неинфекционных заболеваний на основании диагностических критериев, предусмотренных </w:t>
      </w:r>
      <w:hyperlink w:anchor="Par1279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формирование комплекта документов, заполнение карты учета диспансеризации (профилактических медицинских осмотров) (далее - карта учета диспансеризации) по </w:t>
      </w:r>
      <w:hyperlink r:id="rId19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утверждаемой в соответствии с </w:t>
      </w:r>
      <w:hyperlink r:id="rId20" w:history="1">
        <w:r>
          <w:rPr>
            <w:rFonts w:ascii="Calibri" w:hAnsi="Calibri" w:cs="Calibri"/>
            <w:color w:val="0000FF"/>
          </w:rPr>
          <w:t>частью 3 статьи 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отнесенных ко II и III группам состояния здоровья, в рамках второго этапа диспансеризации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фельдшерских здравпунктов и фельдшерско-акушерских пунктов, расположенных в удаленной или труднодоступной местности.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Основными задачами врача-терапевта при проведении диспансеризации являются: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составление списков граждан,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активное привлечение населения участка 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проведение медицинского осмотра гражданина по итогам первого и второго этапов диспансеризации, установление диагноза заболевания (состояния), определение относительного суммарного сердечно-сосудистого риска у граждан в возрасте от 21 до 39 лет и абсолютного суммарного сердечно-сосудистого риска у граждан в возрасте от 42 до 65 лет, определение группы состояния здоровья, группы диспансерного наблюдения (с учетом заключений врачей-специалистов), назначение необходимого лечения, при наличии медицинских показаний направление на 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проведение краткого профилактического консультирования, включающего рекомендации по здоровому питанию, по уровню физической активности, отказу от курения табака и пагубного потребления алкоголя; направление граждан с выявленными факторами риска развития хронических неинфекционных заболеваний в отделение (кабинет) медицинской профилактики или центр здоровья, а также фельдшерский здравпункт или фельдшерско-акушерский пункт &lt;1&gt; для оказания медицинской помощи по коррекции указанных факторов риска;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фельдшерских здравпунктов и фельдшерско-акушерских пунктов, расположенных в удаленной или труднодоступной местности.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участие в оформлении (ведении) медицинской документации;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подведение итогов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Основными задачами отделения (кабинета) медицинской профилактики медицинской организации, в том числе находящегося в составе центра здоровья, при проведении диспансеризации являются: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информировании населения, находящегося на медицинском обслуживании в медицинской организации, о проведении диспансеризации, о ее целях и задачах, проведение разъяснительной работы и мотивирование граждан к прохождению диспансеризации;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инструктаж граждан, прибывших на диспансеризацию, о порядке ее прохождения, объеме и последовательности проведения обследования;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выполнение доврачебных медицинских исследований первого этапа диспансеризации (опрос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врача, антропометрия, расчет индекса массы тела, измерение артериального давления, определение уровня общего холестерина и уровня глюкозы в крови экспресс-методом, измерение внутриглазного давления бесконтактным методом);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определение факторов риска хронических неинфекционных заболеваний на основании диагностических критериев, предусмотренных </w:t>
      </w:r>
      <w:hyperlink w:anchor="Par1279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формирование комплекта документов, по результатам исследований, проведенных в рамках диспансеризации, для направления пациента на осмотры врачами-специалистами и врачом-терапевтом по итогам первого и второго этапов диспансеризации, включая заполнение карты учета диспансеризации;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учет граждан, прошедших каждый этап диспансеризации, включая заполнение карты учета диспансеризации и отчета о проведении диспансеризации по </w:t>
      </w:r>
      <w:hyperlink r:id="rId2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утверждаемой 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частью 3 статьи 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отнесенных ко II и III группам состояния здоровья, в рамках второго этапа диспансеризации;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Диспансеризация проводится в два этапа.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7"/>
      <w:bookmarkEnd w:id="5"/>
      <w:r>
        <w:rPr>
          <w:rFonts w:ascii="Calibri" w:hAnsi="Calibri" w:cs="Calibri"/>
        </w:rPr>
        <w:t>13.1.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 (далее - анкетирование);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антропометрию (измерение роста стоя, массы тела, окружности талии), расчет индекса массы тела;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измерение артериального давления;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21"/>
      <w:bookmarkEnd w:id="6"/>
      <w:r>
        <w:rPr>
          <w:rFonts w:ascii="Calibri" w:hAnsi="Calibri" w:cs="Calibri"/>
        </w:rPr>
        <w:t>4) определение уровня общего холестерина в крови (допускается использование экспресс-метода);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2"/>
      <w:bookmarkEnd w:id="7"/>
      <w:r>
        <w:rPr>
          <w:rFonts w:ascii="Calibri" w:hAnsi="Calibri" w:cs="Calibri"/>
        </w:rPr>
        <w:t>5) определение уровня глюкозы в крови экспресс-методом (допускается лабораторный метод);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определение относительного суммарного сердечно-сосудистого риска у граждан в возрасте от 21 до 39 лет и абсолютного суммарного сердечно-сосудистого риска у граждан в возрасте от 40 до 65 лет, не имеющих заболеваний, связанных с атеросклерозом;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электрокардиографию в покое (для мужчин в возрасте старше 35 лет, для женщин в </w:t>
      </w:r>
      <w:r>
        <w:rPr>
          <w:rFonts w:ascii="Calibri" w:hAnsi="Calibri" w:cs="Calibri"/>
        </w:rPr>
        <w:lastRenderedPageBreak/>
        <w:t>возрасте 45 лет и старше, а для мужчин в возрасте до 35 лет и женщин в возрасте до 45 лет - при первичном прохождении диспансеризации);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(далее - мазок с шейки матки) (для женщин в возрасте от 21 года до 69 лет включительно)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 исключением случаев невозможности проведения исследования по медицинским показаниям в связи с экстирпацией матки, virgo. Допускается вместо осмотра фельдшером (акушеркой) проведение осмотра врачом акушером-гинекологом, включая взятие мазка с шейки матки. Цитологическое исследование мазка с шейки матки проводится при окрашивании мазка по Папаниколау.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флюорографию легких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Флюорография легких не проводится, если гражданину в течение предшествующего календарного года либо года проведения диспансеризации проводилась флюорография, рентгенография (рентгеноскопия) или компьютерная томография органов грудной клетки.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маммографию обеих молочных желез (для женщин в возрасте от 39 до 75 лет)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 исключением случаев невозможности проведения исследования по медицинским показаниям в связи с мастэктомией. При проведении в год прохождения диспансеризации компьютерной томографии молочных желез маммография не проводится.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клинический анализ крови (в объеме не менее определения концентрации гемоглобина в эритроцитах, количества лейкоцитов и скорости оседания эритроцитов);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клинический анализ крови развернутый (для граждан в возрасте от 39 лет и старше с периодичностью 1 раз в 6 лет вместо клинического анализа крови);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анализ крови биохимический общетерапевтический (в объеме не менее определения уровня креатинина, общего билирубина, аспартат-аминотрансаминазы, аланин-аминотрансаминазы, глюкозы, холестерина) (для граждан в возрасте 39 лет и старше с периодичностью 1 раз в 6 лет вместо исследований, предусмотренных </w:t>
      </w:r>
      <w:hyperlink w:anchor="Par121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и </w:t>
      </w:r>
      <w:hyperlink w:anchor="Par122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настоящего пункта);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общий анализ мочи;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исследование кала на скрытую кровь иммунохимическим методом (допускается проведение бензидиновой или гваяковой пробы) (для граждан в возрасте от 48 до 75 лет);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ультразвуковое исследование (далее - УЗИ) органов брюшной полости и малого таза на предмет исключения новообразований для граждан в возрасте 39 лет и старше с периодичностью 1 раз в 6 лет (для женщин УЗИ поджелудочной железы, почек, матки и яичников; для мужчин УЗИ поджелудочной железы, почек и предстательной железы), а для мужчин, когда-либо куривших в жизни, также УЗИ брюшной аорты с целью исключения аневризмы однократно в возрасте 69 или 75 лет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УЗИ органов брюшной полости не проводится, если гражданину в течение предшествующих 2 лет либо в год проведения диспансеризации проводилась магнитно-резонансная или компьютерная томография органов брюшной полости.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измерение внутриглазного давления (для граждан в возрасте 39 лет и старше);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прием (осмотр)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Первый этап диспансеризации может проводиться мобильными медицинскими бригадами, осуществляющими свою деятельность в соответствии с правилами организации работы мобильных медицинских бригад, предусмотренными </w:t>
      </w:r>
      <w:hyperlink r:id="rId23" w:history="1">
        <w:r>
          <w:rPr>
            <w:rFonts w:ascii="Calibri" w:hAnsi="Calibri" w:cs="Calibri"/>
            <w:color w:val="0000FF"/>
          </w:rPr>
          <w:t>приложением N 8</w:t>
        </w:r>
      </w:hyperlink>
      <w:r>
        <w:rPr>
          <w:rFonts w:ascii="Calibri" w:hAnsi="Calibri" w:cs="Calibri"/>
        </w:rPr>
        <w:t xml:space="preserve">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(зарегистрирован Министерством юстиции Российской Федерации 27 июня 2012 г., регистрационный N 24726).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нуждающиеся по результатам первого этапа диспансеризации в дополнительном обследовании, индивидуальном углубленном профилактическом консультировании или групповом профилактическом консультировании (школа пациента), направляются врачом-терапевтом на второй этап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50"/>
      <w:bookmarkEnd w:id="8"/>
      <w:r>
        <w:rPr>
          <w:rFonts w:ascii="Calibri" w:hAnsi="Calibri" w:cs="Calibri"/>
        </w:rPr>
        <w:t>13.2. 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 и включает в себя: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дуплексное сканирование брахицефальных артерий (в случае наличия указания или подозрения на ранее перенесенное острое нарушение мозгового кровообращения по результатам анкетирования, а также для мужчин в возрасте от 45 лет и старше и женщин в возрасте старше 55 лет при наличии комбинации трех факторов риска развития хронических неинфекционных заболеваний: повышенный уровень артериального давления, дислипидемия, избыточная масса тела или ожирение);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эзофагогастродуоденоскопию (при выявлении по результатам анкетирования жалоб, свидетельствующих о возможном онкологическом заболевании верхних отделов желудочно-кишечного тракта или для граждан в возрасте старше 50 лет при отягощенной наследственности по онкологическим заболеваниям органов желудочно-кишечного тракта);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осмотр (консультацию) врачом-неврологом (в случае указания или подозрения на ранее перенесенное острое нарушение мозгового кровообращения по результатам анкетирования у граждан, не находящихся под диспансерным наблюдением по данному поводу, а также в случаях первичного выявления нарушений двигательной функции, когнитивных нарушений и подозрения на депрессию у граждан в возрасте 75 лет и старше);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осмотр (консультацию) врачом-хирургом или врачом-урологом (для мужчин в возрасте от 42 до 69 лет при впервые выявленных по результатам анкетирования признаках патологии мочеполовой системы или при отягощенной наследственности по онкологическим заболеваниям предстательной железы, а также для мужчин вне зависимости от возраста в случае подозрения на онкологическое заболевание предстательной железы по результатам УЗИ);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осмотр (консультацию) врачом-хирургом или врачом-колопроктологом (для граждан при положительном анализе кала на скрытую кровь, для граждан в возрасте 45 лет и старше при отягощенной наследственности по семейному полипозу, онкологическим заболеваниям колоректальной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колоректальной области);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колоноскопию или ректороманоскопию (в случае подозрения на онкологическое заболевание толстой кишки по назначению врача-хирурга или врача-колопроктолога);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определение липидного спектра крови (уровень общего холестерина, холестерина липопротеидов высокой плотности, холестерина липопротеидов низкой плотности, триглицеридов) (для граждан с выявленным повышением уровня общего холестерина в крови);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спирометрию (для граждан с подозрением на хроническое бронхо-легочное заболевание по результатам анкетирования, курящих и по направлению врача-терапевта);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осмотр (консультацию) врачом-акушером-гинекологом (для женщин с выявленными патологическими изменениями по результатам цитологического исследования мазка с шейки матки и (или) маммографии, УЗИ матки и яичников);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определение концентрации гликированного гемоглобина в крови или тест на толерантность к глюкозе (для граждан с выявленным повышением уровня глюкозы в крови);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осмотр (консультацию) врачом-оториноларингологом (для граждан в возрасте 75 лет и старше при наличии медицинских показаний по результатам анкетирования или осмотра врача-</w:t>
      </w:r>
      <w:r>
        <w:rPr>
          <w:rFonts w:ascii="Calibri" w:hAnsi="Calibri" w:cs="Calibri"/>
        </w:rPr>
        <w:lastRenderedPageBreak/>
        <w:t>терапевта);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анализ крови на уровень содержания простатспецифического антигена (по назначению врача-хирурга или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УЗИ предстательной железы);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осмотр (консультацию) врачом-офтальмологом (для граждан в возрасте 39 лет и старше, имеющих повышенное внутриглазное давление, и для граждан в возрасте 75 лет и старше, имеющих снижение остроты зрения, не поддающееся очковой коррекции, выявленное по результатам анкетирования);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индивидуальное углубленное профилактическое консультирование или групповое профилактическое консультирование (школа пациента) в отделении (кабинете) медицинской профилактики (центре здоровья, фельдшерском здравпункте или фельдшерско-акушерском пункте) (для граждан с выявленными факторами риска развития хронических неинфекционных заболеваний, имеющих указанные заболевания или имеющих высокий и очень высокий абсолютный суммарный сердечно-сосудистый риск);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прием (осмотр) врача-терапевта, включающий установление (уточнение) диагноза, определение (уточнение) группы состояния здоровья, определение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медицинской помощи, на санаторно-курортное лечение.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66"/>
      <w:bookmarkEnd w:id="9"/>
      <w:r>
        <w:rPr>
          <w:rFonts w:ascii="Calibri" w:hAnsi="Calibri" w:cs="Calibri"/>
        </w:rPr>
        <w:t xml:space="preserve">14. При наличии у гражданина документально подтвержденных результатов осмотров (консультаций) врачами-специалистами (фельдшером или акушеркой) (далее - осмотр), исследований или сведений об иных медицинских мероприятиях, входящих в объем диспансеризации согласно </w:t>
      </w:r>
      <w:hyperlink w:anchor="Par117" w:history="1">
        <w:r>
          <w:rPr>
            <w:rFonts w:ascii="Calibri" w:hAnsi="Calibri" w:cs="Calibri"/>
            <w:color w:val="0000FF"/>
          </w:rPr>
          <w:t>пунктам 13.1</w:t>
        </w:r>
      </w:hyperlink>
      <w:r>
        <w:rPr>
          <w:rFonts w:ascii="Calibri" w:hAnsi="Calibri" w:cs="Calibri"/>
        </w:rPr>
        <w:t xml:space="preserve"> и </w:t>
      </w:r>
      <w:hyperlink w:anchor="Par150" w:history="1">
        <w:r>
          <w:rPr>
            <w:rFonts w:ascii="Calibri" w:hAnsi="Calibri" w:cs="Calibri"/>
            <w:color w:val="0000FF"/>
          </w:rPr>
          <w:t>13.2</w:t>
        </w:r>
      </w:hyperlink>
      <w:r>
        <w:rPr>
          <w:rFonts w:ascii="Calibri" w:hAnsi="Calibri" w:cs="Calibri"/>
        </w:rPr>
        <w:t xml:space="preserve"> настоящего Порядка, которые выполнялись в течение 12 месяцев, предшествующих месяцу проведения диспансеризации, решение о необходимости повторного осмотра, исследования или мероприятия в рамках диспансеризации принимается индивидуально с учетом всех имеющихся результатов обследования и состояния здоровья гражданина.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выявлении у гражданина в процессе диспансеризации медицинских показаний к проведению осмотров врачами-специалистами, исследований и мероприятий, не входящих в объем диспансеризации в соответствии с настоящим Порядком, они назначаются и выполняются с учетом положений </w:t>
      </w:r>
      <w:hyperlink r:id="rId24" w:history="1">
        <w:r>
          <w:rPr>
            <w:rFonts w:ascii="Calibri" w:hAnsi="Calibri" w:cs="Calibri"/>
            <w:color w:val="0000FF"/>
          </w:rPr>
          <w:t>порядков</w:t>
        </w:r>
      </w:hyperlink>
      <w:r>
        <w:rPr>
          <w:rFonts w:ascii="Calibri" w:hAnsi="Calibri" w:cs="Calibri"/>
        </w:rPr>
        <w:t xml:space="preserve"> оказания медицинской помощи по профилю выявленного или предполагаемого заболевания (состояния) и </w:t>
      </w:r>
      <w:hyperlink r:id="rId25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медицинской помощи, утвержденных в соответствии с </w:t>
      </w:r>
      <w:hyperlink r:id="rId26" w:history="1">
        <w:r>
          <w:rPr>
            <w:rFonts w:ascii="Calibri" w:hAnsi="Calibri" w:cs="Calibri"/>
            <w:color w:val="0000FF"/>
          </w:rPr>
          <w:t>частью 2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Федерации", а также клинических рекомендаций (протоколов лечения) по вопросам оказания медицинской помощи, разработанных и утвержденных в соответствии с </w:t>
      </w:r>
      <w:hyperlink r:id="rId27" w:history="1">
        <w:r>
          <w:rPr>
            <w:rFonts w:ascii="Calibri" w:hAnsi="Calibri" w:cs="Calibri"/>
            <w:color w:val="0000FF"/>
          </w:rPr>
          <w:t>частью 2 статьи 76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На основе сведений о прохождении гражданином диспансеризации медицинским работником отделения (кабинета) медицинской профилактики, а также фельдшером фельдшерского здравпункта или фельдшерско-акушерского пункта по результатам исследований, проведенных в рамках диспансеризации в данном фельдшерском здравпункте или фельдшерско-акушерском пункте, заполняется </w:t>
      </w:r>
      <w:hyperlink r:id="rId28" w:history="1">
        <w:r>
          <w:rPr>
            <w:rFonts w:ascii="Calibri" w:hAnsi="Calibri" w:cs="Calibri"/>
            <w:color w:val="0000FF"/>
          </w:rPr>
          <w:t>карта</w:t>
        </w:r>
      </w:hyperlink>
      <w:r>
        <w:rPr>
          <w:rFonts w:ascii="Calibri" w:hAnsi="Calibri" w:cs="Calibri"/>
        </w:rPr>
        <w:t xml:space="preserve"> учета диспансеризации, которая подшивается в медицинскую карту амбулаторного больного.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иных исследований и осмотров, не включенных в карту учета диспансеризации, вносятся в </w:t>
      </w:r>
      <w:hyperlink r:id="rId29" w:history="1">
        <w:r>
          <w:rPr>
            <w:rFonts w:ascii="Calibri" w:hAnsi="Calibri" w:cs="Calibri"/>
            <w:color w:val="0000FF"/>
          </w:rPr>
          <w:t>медицинскую карту</w:t>
        </w:r>
      </w:hyperlink>
      <w:r>
        <w:rPr>
          <w:rFonts w:ascii="Calibri" w:hAnsi="Calibri" w:cs="Calibri"/>
        </w:rPr>
        <w:t xml:space="preserve"> амбулаторного больного с пометкой "Диспансеризация".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Для определения по результатам диспансеризации группы состояния здоровья гражданина и планирования тактики его медицинского наблюдения используются следующие критерии: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группа состояния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суммарном сердечно-сосудистом риске и которые не нуждаются в диспансерном наблюдении по поводу других </w:t>
      </w:r>
      <w:r>
        <w:rPr>
          <w:rFonts w:ascii="Calibri" w:hAnsi="Calibri" w:cs="Calibri"/>
        </w:rPr>
        <w:lastRenderedPageBreak/>
        <w:t>заболеваний (состояний). Таким гражданам в рамках диспансеризации проводится краткое профилактическое консультирование;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группа состояния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суммарном сердечно-сосудистом риске, и которые не нуждаются в диспансерном наблюдении по поводу других заболеваний (состояний).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гражданам в рамках диспансеризации проводится коррекция факторов риска развития хронических неинфекционных заболеваний (углубленное индивидуальное профилактическое консультирование и (или) групповое профилактическое консультирование) в отделении (кабинете) медицинской профилактики, центре здоровья, фельдшерском здравпункте или фельдшерско-акушерском пункте,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указанных факторов риска. Эти граждане подлежат диспансерному наблюдению врачом (фельдшером) отделения (кабинета) медицинской профилактики, а также фельдшером фельдшерского здравпункта или фельдшерско-акушерского пункта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фельдшерских здравпунктов и фельдшерско-акушерских пунктов, расположенных в удаленной или труднодоступной местности.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IIIа группа состояния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 &lt;1&gt;;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По результатам дополнительного обследования группа состояния здоровья гражданина может быть изменена. При наличии у пациента и хронических неинфекционных заболеваний, и других заболеваний (состояний), требующих диспансерного наблюдения, его включают в IIIа группу состояния здоровья.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IIIб группа состояния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с IIIа и IIIб группами состояния здоровья подлежат диспансерному наблюдению врачом-терапевтом, врачами-специалистами с проведением лечебных, реабилитационных и профилактических мероприятий. Гражданам с IIIа группой состояния здоровья, имеющим факторы риска развития хронических неинфекционных заболеваний, и гражданам с IIIб группой состояния здоровья, имеющим высокий и очень высокий суммарный (абсолютный или относительный) сердечно-сосудистый риск, проводится коррекция имеющихся факторов риска (углубленное индивидуальное профилактическое консультирование и (или) групповое профилактическое консультирование) в рамках диспансеризации в отделении (кабинете) медицинской профилактики, центре здоровья, фельдшерском здравпункте или фельдшерско-акушерском пункте &lt;1&gt;.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Для фельдшерских здравпунктов и фельдшерско-акушерских пунктов, расположенных в удаленной или труднодоступной местности.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Основными критериями эффективности диспансеризации взрослого населения являются: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охват диспансеризацией населения, находящегося на медицинском обслуживании в медицинской организации и подлежащего диспансеризации в текущем году (плановое значение - не менее 23% ежегодно);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охват индивидуальным углубленным профилактическим консультированием граждан со II и IIIа группой состояния здоровья, а также граждан с IIIб группой состояния здоровья, имеющих </w:t>
      </w:r>
      <w:r>
        <w:rPr>
          <w:rFonts w:ascii="Calibri" w:hAnsi="Calibri" w:cs="Calibri"/>
        </w:rPr>
        <w:lastRenderedPageBreak/>
        <w:t>высокий и очень высокий суммарный (абсолютный или относительный) сердечно-сосудистый риск (плановое значение - не менее 60% от имеющих медицинские показания для проведения индивидуального углубленного профилактического консультирования);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охват групповым профилактическим консультированием (школа пациента) граждан с II и IIIа группами состояния здоровья, а также граждан с IIIб группой состояния здоровья, имеющих высокий и очень высокий суммарный (абсолютный или относительный) сердечно-сосудистый риск (плановое значение - не менее 60% от имеющих медицинские показания для проведения группового профилактического консультирования).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В медицинской организации ведется учет граждан, прошедших каждый этап диспансеризации, с регистрацией осмотров, исследований и иных медицинских мероприятий, выполненных в рамках проведения диспансеризации, и осмотров, исследований, мероприятий, выполненных ранее вне рамок диспансеризации и учитываемых при диспансеризации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Порядка, а также отказов граждан от прохождения отдельных осмотров, исследований и мероприятий.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Первый этап диспансеризации считается завершенным и подлежит оплате в рамках территориальной программы государственных гарантий бесплатного оказание гражданам медицинской помощи (далее - территориальная программа) в случае выполнения не менее 85% от объема диспансеризации, установленного для данного возраста и пола гражданина, при этом обязательным является проведение анкетирования и приема (осмотра) врача-терапевта.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число осмотров, исследований и иных медицинских мероприятий, выполненных ранее и учитываемых при диспансеризации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Порядка, превышает 15% от объема диспансеризации, установленного для соответствующего возраста и пола гражданина, а общий объем выполненных в рамках диспансеризации и учтенных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 осмотров, исследований и иных медицинских мероприятий составляет 85% и более от объема диспансеризации, первый этап диспансеризации отражается в отчете о проведении диспансеризации как завершенный случай, при этом оплате подлежат только выполненные осмотры (исследования, мероприятия) в соответствии со способами оплаты медицинской помощи, установленными территориальной программой.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и более от объема обследования, установленного для профилактического медицинского осмотра &lt;1&gt;, такие случаи учитываются как проведенный гражданину профилактический медицинский осмотр.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6 декабря 2012 г. N 1011н "Об утверждении Порядка проведения профилактического медицинского осмотра" (зарегистрирован Министерством юстиции Российской Федерации 29 декабря 2012 г., регистрационный N 26511).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Второй этап диспансеризации считается законченным в случае выполнения осмотров, исследований и иных медицинских мероприятий,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пункте 13.2</w:t>
        </w:r>
      </w:hyperlink>
      <w:r>
        <w:rPr>
          <w:rFonts w:ascii="Calibri" w:hAnsi="Calibri" w:cs="Calibri"/>
        </w:rPr>
        <w:t xml:space="preserve"> настоящего Порядка, необходимость проведения которых определена по результатам первого и второго этапов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203"/>
      <w:bookmarkEnd w:id="10"/>
      <w:r>
        <w:rPr>
          <w:rFonts w:ascii="Calibri" w:hAnsi="Calibri" w:cs="Calibri"/>
        </w:rPr>
        <w:t>Приложение N 1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диспансеризации определенных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групп взрослого населения,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Российской Федерации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212"/>
      <w:bookmarkEnd w:id="11"/>
      <w:r>
        <w:rPr>
          <w:rFonts w:ascii="Calibri" w:hAnsi="Calibri" w:cs="Calibri"/>
        </w:rPr>
        <w:t>ОБЪЕМ ДИСПАНСЕРИЗАЦИИ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214"/>
      <w:bookmarkEnd w:id="12"/>
      <w:r>
        <w:rPr>
          <w:rFonts w:ascii="Calibri" w:hAnsi="Calibri" w:cs="Calibri"/>
        </w:rPr>
        <w:t>Перечень осмотров врачами-специалистами,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и иных медицинских мероприятий, проводимых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рамках диспансеризации в определенные возрастные периоды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6E0F0D" w:rsidSect="00262C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618"/>
        <w:gridCol w:w="1510"/>
        <w:gridCol w:w="368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10"/>
      </w:tblGrid>
      <w:tr w:rsidR="006E0F0D">
        <w:tc>
          <w:tcPr>
            <w:tcW w:w="3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Осмотр, исследование, иное медицинское мероприятие</w:t>
            </w:r>
          </w:p>
        </w:tc>
        <w:tc>
          <w:tcPr>
            <w:tcW w:w="114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(лет)</w:t>
            </w:r>
          </w:p>
        </w:tc>
      </w:tr>
      <w:tr w:rsidR="006E0F0D">
        <w:tc>
          <w:tcPr>
            <w:tcW w:w="3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6E0F0D">
        <w:tc>
          <w:tcPr>
            <w:tcW w:w="154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3" w:name="Par247"/>
            <w:bookmarkEnd w:id="13"/>
            <w:r>
              <w:rPr>
                <w:rFonts w:ascii="Calibri" w:hAnsi="Calibri" w:cs="Calibri"/>
              </w:rPr>
              <w:t>Первый этап диспансеризации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Опрос (анкетирование)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Антропометрия (измерение роста стоя, массы тела, окружности талии), расчет индекса массы тела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Измерение артериального давления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Определение уровня общего холестерина в крови (допускается экспресс-метод)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Определение уровня глюкозы в крови экспресс-методом (допускается лабораторный метод)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Определение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относительного суммарного сердечно-сосудистого риска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абсолютного суммарного </w:t>
            </w:r>
            <w:r>
              <w:rPr>
                <w:rFonts w:ascii="Calibri" w:hAnsi="Calibri" w:cs="Calibri"/>
              </w:rPr>
              <w:lastRenderedPageBreak/>
              <w:t>сердечно-сосудистого риска у граждан, не имеющих заболеваний, связанных с атеросклерозом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7. Электрокардиография (в покое) </w:t>
            </w:r>
            <w:hyperlink w:anchor="Par1263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мужчин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женщин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(для женщин)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Флюорография легких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Маммография обеих молочных желез (для женщин)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Клинический анализ крови (в объеме не менее определения концентрации гемоглобина в эритроцитах, количества лейкоцитов и скорости оседания эритроцитов)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Клинический анализ крови развернутый (с периодичностью 1 раз в 6 лет вместо клинического анализа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 Анализ крови биохимический общетерапевтический (в объеме не менее определения уровня креатинина, общего билирубина, аспартат-аминотрансаминазы, аланин-аминотрансаминазы, глюкозы, холестерина)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Общий анализ мочи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Исследование кала на скрытую кровь иммунохимическим методом (допускается проведение бензидиновой или гваяковой пробы)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 Ультразвуковое исследование (УЗИ) на предмет исключения новообразований органов брюшной полости, малого таза и аневризмы брюшной аорты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женщин УЗИ поджелудочной железы, почек, матки и яичников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Для мужчин УЗИ поджелудочной железы, почек, простаты и брюшной аорты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+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+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Измерение внутриглазного давления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 Прием (осмотр) врача-терапевта, включающий установление диагноза, определение группы состояния здоровья, группы диспансерного </w:t>
            </w:r>
            <w:r>
              <w:rPr>
                <w:rFonts w:ascii="Calibri" w:hAnsi="Calibri" w:cs="Calibri"/>
              </w:rPr>
              <w:lastRenderedPageBreak/>
              <w:t>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154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4" w:name="Par839"/>
            <w:bookmarkEnd w:id="14"/>
            <w:r>
              <w:rPr>
                <w:rFonts w:ascii="Calibri" w:hAnsi="Calibri" w:cs="Calibri"/>
              </w:rPr>
              <w:lastRenderedPageBreak/>
              <w:t>Второй этап диспансеризации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Дуплексное сканирование брахицефальных артерий (в случае наличия указания или подозрения на ранее перенесенное острое нарушение мозгового кровообращения по результатам анкетирования, а также для мужчин в возрасте 45 лет и старше и женщин в возрасте старше 55 лет при наличии комбинации трех факторов риска развития хронических неинфекционных заболеваний: повышенный уровень артериального давления, дислипидемия, избыточная масса тела или ожирение)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Эзофагогастродуоденоскопия (при выявлении по результатам анкетирования жалоб, свидетельствующих о возможном онкологическом заболевании верхних отделов желудочно-кишечного тракта или для граждан в возрасте старше 50 </w:t>
            </w:r>
            <w:r>
              <w:rPr>
                <w:rFonts w:ascii="Calibri" w:hAnsi="Calibri" w:cs="Calibri"/>
              </w:rPr>
              <w:lastRenderedPageBreak/>
              <w:t>лет при отягощенной наследственности по онкологическим заболеваниям органов желудочно-кишечного тракта)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 Осмотр (консультация) врачом-неврологом (в случае указания или подозрения на ранее перенесенное острое нарушение мозгового кровообращения по результатам анкетирования у граждан, не находящихся под диспансерным наблюдением по данному поводу, а также в случаях первичного выявления нарушений</w:t>
            </w:r>
          </w:p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двигательной функции, когнитивных нарушений и подозрения на депрессию у граждан в возрасте 75 лет и старше)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Осмотр (консультация) врачом-хирургом или врачом-урологом (для мужчин при впервые выявленных по результатам анкетирования признаках патологии мочеполовой системы или при отягощенной наследственности по онкологическим заболеваниям предстательной железы, а также для мужчин вне зависимости от возраста в случае подозрения на онкологическое заболевание предстательной железы по результатам ультразвукового исследования)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Осмотр (консультация) врачом-хирургом или врачом-колопроктологом </w:t>
            </w:r>
            <w:r>
              <w:rPr>
                <w:rFonts w:ascii="Calibri" w:hAnsi="Calibri" w:cs="Calibri"/>
              </w:rPr>
              <w:lastRenderedPageBreak/>
              <w:t>(для граждан при положительном анализе кала на скрытую кровь, для граждан в возрасте 45 лет и старше при отягощенной наследственности по семейному полипозу, онкологическим заболеваниям колоректальной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колоректальной области)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 Колоноскопия или ректороманоскопия (в случае подозрения на онкологическое заболевание толстой кишки по назначению врача-хирурга или врача-колопроктолога)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Определение липидного спектра крови (уровень общего холестерина, холестерина липопротеидов высокой плотности, холестерина липопротеидов низкой плотности, триглицеридов) (для граждан с выявленным повышением уровня общего холестерина в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Спирометрия (для граждан с подозрением на хроническое бронхо-легочное заболевание по результатам анкетирования, курящих и по направлению врача-терапевта)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 Осмотр (консультация) врачом-акушером-гинекологом (для женщин с выявленными патологическими изменениями по результатам цитологического исследования мазка с шейки матки и (или) маммографии, УЗИ матки и яичников)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Определение концентрации гликированного гемоглобина в крови или тест на толерантность к глюкозе (для граждан с выявленным повышением уровня глюкозы в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Осмотр (консультация) врачом-оториноларингологом (при наличии медицинских показаний по результатам анкетирования или осмотра врача-терапевта)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Анализ крови на уровень содержания простатспецифического антигена (по назначению врача-хирурга или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УЗИ предстательной железы)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 Осмотр (консультация) врачом-офтальмологом (для граждан в возрасте 39 лет и старше, имеющих повышенное внутриглазное давление, и для граждан </w:t>
            </w:r>
            <w:r>
              <w:rPr>
                <w:rFonts w:ascii="Calibri" w:hAnsi="Calibri" w:cs="Calibri"/>
              </w:rPr>
              <w:lastRenderedPageBreak/>
              <w:t>в возрасте 75 лет и старше, имеющих снижение остроты зрения, не поддающееся очковой коррекции, выявленное по результатам анкетирования)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 Индивидуальное углубленное профилактическое консультирование или групповое профилактическое консультирование (школа пациента) в отделении (кабинете) медицинской профилактики (центре здоровья, фельдшерском здравпункте или фельдшерско-акушерском пункте) (для граждан с выявленными факторами риска развития хронических неинфекционных заболеваний, имеющих указанные заболевания или имеющих высокий и очень высокий абсолютный суммарный сердечно-сосудистый риск)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6E0F0D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 Прием (осмотр) врача-терапевта, включающий установление (уточнение) диагноза, определение (уточнение) группы состояния здоровья,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</w:t>
            </w:r>
            <w:r>
              <w:rPr>
                <w:rFonts w:ascii="Calibri" w:hAnsi="Calibri" w:cs="Calibri"/>
              </w:rPr>
              <w:lastRenderedPageBreak/>
              <w:t>медицинской помощи, на санаторно-курортное лечение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0F0D" w:rsidRDefault="006E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</w:tbl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6E0F0D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63"/>
      <w:bookmarkEnd w:id="15"/>
      <w:r>
        <w:rPr>
          <w:rFonts w:ascii="Calibri" w:hAnsi="Calibri" w:cs="Calibri"/>
        </w:rPr>
        <w:t>&lt;1&gt; Для мужчин в возрасте до 35 лет и для женщин в возрасте до 45 лет при первичном прохождении диспансеризации.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64"/>
      <w:bookmarkEnd w:id="16"/>
      <w:r>
        <w:rPr>
          <w:rFonts w:ascii="Calibri" w:hAnsi="Calibri" w:cs="Calibri"/>
        </w:rPr>
        <w:t>&lt;2&gt; УЗИ брюшной аорты для исключения ее аневризмы проводится однократно у мужчин в возрасте 69 или 75 лет, которые когда-либо курили в жизни.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1270"/>
      <w:bookmarkEnd w:id="17"/>
      <w:r>
        <w:rPr>
          <w:rFonts w:ascii="Calibri" w:hAnsi="Calibri" w:cs="Calibri"/>
        </w:rPr>
        <w:t>Приложение N 2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диспансеризации определенных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групп взрослого населения,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утвержденному приказом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1279"/>
      <w:bookmarkEnd w:id="18"/>
      <w:r>
        <w:rPr>
          <w:rFonts w:ascii="Calibri" w:hAnsi="Calibri" w:cs="Calibri"/>
        </w:rPr>
        <w:t>ДИАГНОСТИЧЕСКИЕ КРИТЕРИИ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ФАКТОРОВ РИСКА И ДРУГИХ ПАТОЛОГИЧЕСКИХ СОСТОЯНИЙ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ЗАБОЛЕВАНИЙ, ПОВЫШАЮЩИХ ВЕРОЯТНОСТЬ РАЗВИТИЯ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ХРОНИЧЕСКИХ НЕИНФЕКЦИОННЫХ ЗАБОЛЕВАНИЙ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либо проведение гипотензивной терапии.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&lt;1&gt; кодами </w:t>
      </w:r>
      <w:hyperlink r:id="rId31" w:history="1">
        <w:r>
          <w:rPr>
            <w:rFonts w:ascii="Calibri" w:hAnsi="Calibri" w:cs="Calibri"/>
            <w:color w:val="0000FF"/>
          </w:rPr>
          <w:t>I10</w:t>
        </w:r>
      </w:hyperlink>
      <w:r>
        <w:rPr>
          <w:rFonts w:ascii="Calibri" w:hAnsi="Calibri" w:cs="Calibri"/>
        </w:rPr>
        <w:t xml:space="preserve"> - </w:t>
      </w:r>
      <w:hyperlink r:id="rId32" w:history="1">
        <w:r>
          <w:rPr>
            <w:rFonts w:ascii="Calibri" w:hAnsi="Calibri" w:cs="Calibri"/>
            <w:color w:val="0000FF"/>
          </w:rPr>
          <w:t>I15</w:t>
        </w:r>
      </w:hyperlink>
      <w:r>
        <w:rPr>
          <w:rFonts w:ascii="Calibri" w:hAnsi="Calibri" w:cs="Calibri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33" w:history="1">
        <w:r>
          <w:rPr>
            <w:rFonts w:ascii="Calibri" w:hAnsi="Calibri" w:cs="Calibri"/>
            <w:color w:val="0000FF"/>
          </w:rPr>
          <w:t>R03.0</w:t>
        </w:r>
      </w:hyperlink>
      <w:r>
        <w:rPr>
          <w:rFonts w:ascii="Calibri" w:hAnsi="Calibri" w:cs="Calibri"/>
        </w:rPr>
        <w:t>)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Международная статистическая </w:t>
      </w:r>
      <w:hyperlink r:id="rId34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10 пересмотра.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Дислипидемия - отклонение от нормы одного или более показателей липидного обмена (общий холестерин 5 ммоль/л и более; холестерин липопротеидов высокой плотности у мужчин менее 1,0 ммоль/л, у женщин менее 1,2 ммоль/л; холестерин липопротеидов низкой плотности более 3 ммоль/л; триглицериды более 1,7 ммоль/л) (кодируется по МКБ-10 кодом </w:t>
      </w:r>
      <w:hyperlink r:id="rId35" w:history="1">
        <w:r>
          <w:rPr>
            <w:rFonts w:ascii="Calibri" w:hAnsi="Calibri" w:cs="Calibri"/>
            <w:color w:val="0000FF"/>
          </w:rPr>
          <w:t>E78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Гипергликемия - уровень глюкозы плазмы натощак 6,1 ммоль/л и более (кодируется по МКБ-10 кодом </w:t>
      </w:r>
      <w:hyperlink r:id="rId36" w:history="1">
        <w:r>
          <w:rPr>
            <w:rFonts w:ascii="Calibri" w:hAnsi="Calibri" w:cs="Calibri"/>
            <w:color w:val="0000FF"/>
          </w:rPr>
          <w:t>R73.9</w:t>
        </w:r>
      </w:hyperlink>
      <w:r>
        <w:rPr>
          <w:rFonts w:ascii="Calibri" w:hAnsi="Calibri" w:cs="Calibri"/>
        </w:rP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Курение табака - ежедневное выкуривание по крайней мере одной сигареты и более (кодируется по МКБ-10 кодом </w:t>
      </w:r>
      <w:hyperlink r:id="rId37" w:history="1">
        <w:r>
          <w:rPr>
            <w:rFonts w:ascii="Calibri" w:hAnsi="Calibri" w:cs="Calibri"/>
            <w:color w:val="0000FF"/>
          </w:rPr>
          <w:t>Z72.0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 (досаливание приготовленной пищи, частое употребление соленостей, консервов, колбасных изделий), недостаточное потребление фруктов и овощей (менее 400 граммов или менее 4 - 6 порций в сутки). Определяется с помощью опроса (анкетирования), предусмотренного настоящим Порядком (кодируется по МКБ-10 кодом </w:t>
      </w:r>
      <w:hyperlink r:id="rId38" w:history="1">
        <w:r>
          <w:rPr>
            <w:rFonts w:ascii="Calibri" w:hAnsi="Calibri" w:cs="Calibri"/>
            <w:color w:val="0000FF"/>
          </w:rPr>
          <w:t>Z72.4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Избыточная масса тела - индекс массы тела 25 - 29,9 кг/м2 и более (кодируется по МКБ-10 кодом </w:t>
      </w:r>
      <w:hyperlink r:id="rId39" w:history="1">
        <w:r>
          <w:rPr>
            <w:rFonts w:ascii="Calibri" w:hAnsi="Calibri" w:cs="Calibri"/>
            <w:color w:val="0000FF"/>
          </w:rPr>
          <w:t>R63.5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Ожирение - индекс массы тела 30 кг/м2 и более (кодируется по МКБ-10 </w:t>
      </w:r>
      <w:hyperlink r:id="rId40" w:history="1">
        <w:r>
          <w:rPr>
            <w:rFonts w:ascii="Calibri" w:hAnsi="Calibri" w:cs="Calibri"/>
            <w:color w:val="0000FF"/>
          </w:rPr>
          <w:t>кодом E66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Низкая физическая активность - ходьба в умеренном или быстром темпе менее 30 минут в </w:t>
      </w:r>
      <w:r>
        <w:rPr>
          <w:rFonts w:ascii="Calibri" w:hAnsi="Calibri" w:cs="Calibri"/>
        </w:rPr>
        <w:lastRenderedPageBreak/>
        <w:t xml:space="preserve">день (кодируется по МКБ-10 кодом </w:t>
      </w:r>
      <w:hyperlink r:id="rId41" w:history="1">
        <w:r>
          <w:rPr>
            <w:rFonts w:ascii="Calibri" w:hAnsi="Calibri" w:cs="Calibri"/>
            <w:color w:val="0000FF"/>
          </w:rPr>
          <w:t>Z72.3)</w:t>
        </w:r>
      </w:hyperlink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Риск пагубного потребления алкоголя (кодируется по МКБ-10 кодом </w:t>
      </w:r>
      <w:hyperlink r:id="rId42" w:history="1">
        <w:r>
          <w:rPr>
            <w:rFonts w:ascii="Calibri" w:hAnsi="Calibri" w:cs="Calibri"/>
            <w:color w:val="0000FF"/>
          </w:rPr>
          <w:t>Z72.1</w:t>
        </w:r>
      </w:hyperlink>
      <w:r>
        <w:rPr>
          <w:rFonts w:ascii="Calibri" w:hAnsi="Calibri" w:cs="Calibri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43" w:history="1">
        <w:r>
          <w:rPr>
            <w:rFonts w:ascii="Calibri" w:hAnsi="Calibri" w:cs="Calibri"/>
            <w:color w:val="0000FF"/>
          </w:rPr>
          <w:t>Z72.2</w:t>
        </w:r>
      </w:hyperlink>
      <w:r>
        <w:rPr>
          <w:rFonts w:ascii="Calibri" w:hAnsi="Calibri" w:cs="Calibri"/>
        </w:rPr>
        <w:t>) определяются с помощью опроса (анкетирования), предусмотренного настоящим Порядком.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сердечно-сосудистым заболеваниям определяется при наличии инфаркта миокарда (кодируется по МКБ-10 кодом </w:t>
      </w:r>
      <w:hyperlink r:id="rId44" w:history="1">
        <w:r>
          <w:rPr>
            <w:rFonts w:ascii="Calibri" w:hAnsi="Calibri" w:cs="Calibri"/>
            <w:color w:val="0000FF"/>
          </w:rPr>
          <w:t>Z82.4</w:t>
        </w:r>
      </w:hyperlink>
      <w:r>
        <w:rPr>
          <w:rFonts w:ascii="Calibri" w:hAnsi="Calibri" w:cs="Calibri"/>
        </w:rPr>
        <w:t xml:space="preserve">) и (или) мозгового инсульта (кодируется по МКБ-10 кодом </w:t>
      </w:r>
      <w:hyperlink r:id="rId45" w:history="1">
        <w:r>
          <w:rPr>
            <w:rFonts w:ascii="Calibri" w:hAnsi="Calibri" w:cs="Calibri"/>
            <w:color w:val="0000FF"/>
          </w:rPr>
          <w:t>Z82.3</w:t>
        </w:r>
      </w:hyperlink>
      <w:r>
        <w:rPr>
          <w:rFonts w:ascii="Calibri" w:hAnsi="Calibri" w:cs="Calibri"/>
        </w:rP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злокачественным новообразованиям - наличие у близких родственников в молодом или среднем возрасте или в нескольких поколениях злокачественные новообразования (кодируется по МКБ-10 кодом </w:t>
      </w:r>
      <w:hyperlink r:id="rId46" w:history="1">
        <w:r>
          <w:rPr>
            <w:rFonts w:ascii="Calibri" w:hAnsi="Calibri" w:cs="Calibri"/>
            <w:color w:val="0000FF"/>
          </w:rPr>
          <w:t>Z80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хроническим болезням нижних дыхательных путей - наличие у близких родственников в молодом или среднем возрасте (кодируется по МКБ-10 кодом </w:t>
      </w:r>
      <w:hyperlink r:id="rId47" w:history="1">
        <w:r>
          <w:rPr>
            <w:rFonts w:ascii="Calibri" w:hAnsi="Calibri" w:cs="Calibri"/>
            <w:color w:val="0000FF"/>
          </w:rPr>
          <w:t>Z82.5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сахарному диабету - наличие у близких родственников в молодом или среднем возрасте (кодируется по МКБ-10 кодом </w:t>
      </w:r>
      <w:hyperlink r:id="rId48" w:history="1">
        <w:r>
          <w:rPr>
            <w:rFonts w:ascii="Calibri" w:hAnsi="Calibri" w:cs="Calibri"/>
            <w:color w:val="0000FF"/>
          </w:rPr>
          <w:t>Z83.3</w:t>
        </w:r>
      </w:hyperlink>
      <w:r>
        <w:rPr>
          <w:rFonts w:ascii="Calibri" w:hAnsi="Calibri" w:cs="Calibri"/>
        </w:rPr>
        <w:t>).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Суммарный относительный сердечно-сосудистый риск устанавливается у граждан в возрасте от 21 до 39 лет, суммарный абсолютный сердечно-сосудистый риск устанавливается у граждан в возрасте от 40 до 65 лет при отсутствии у гражданина выявленных заболеваний, связанных с атеросклерозом. У граждан в возрасте старше 65 лет и у граждан, имеющих сердечно-сосудистые заболевания, сахарный диабет второго типа и хроническое заболевание почек, уровень суммарного абсолютного сердечно-сосудистого риска является очень высоким и по шкале суммарного риска не рассчитывается. При отнесении граждан ко II группе состояния здоровья учитывается только величина абсолютного суммарного сердечно-сосудистого риска.</w:t>
      </w: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E0F0D" w:rsidRDefault="006E0F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F3A52" w:rsidRDefault="00EF3A52">
      <w:bookmarkStart w:id="19" w:name="_GoBack"/>
      <w:bookmarkEnd w:id="19"/>
    </w:p>
    <w:sectPr w:rsidR="00EF3A52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D"/>
    <w:rsid w:val="006E0F0D"/>
    <w:rsid w:val="00E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01-CE21-4F56-997D-BFC188A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F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E0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0F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E0F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394CDE233DC03AD389930D9BE89155C8662111226DCF447EC8E3FA7988B04B368E361CE68D0A6D5Z4B9F" TargetMode="External"/><Relationship Id="rId18" Type="http://schemas.openxmlformats.org/officeDocument/2006/relationships/hyperlink" Target="consultantplus://offline/ref=A394CDE233DC03AD389930D9BE89155C8664191725DFF447EC8E3FA7988B04B368E361CE68D0A6D3Z4B8F" TargetMode="External"/><Relationship Id="rId26" Type="http://schemas.openxmlformats.org/officeDocument/2006/relationships/hyperlink" Target="consultantplus://offline/ref=A394CDE233DC03AD389930D9BE89155C8661161620D9F447EC8E3FA7988B04B368E361CE68D0A5DAZ4B9F" TargetMode="External"/><Relationship Id="rId39" Type="http://schemas.openxmlformats.org/officeDocument/2006/relationships/hyperlink" Target="consultantplus://offline/ref=A394CDE233DC03AD389931DDAD89155C866F19142C8BA345BDDB31A290DB4CA326A668C66DD8ZAB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94CDE233DC03AD389930D9BE89155C8661171D2ED9F447EC8E3FA7988B04B368E361CE68D0A6D2Z4B7F" TargetMode="External"/><Relationship Id="rId34" Type="http://schemas.openxmlformats.org/officeDocument/2006/relationships/hyperlink" Target="consultantplus://offline/ref=A394CDE233DC03AD389931DDAD89155C866F19142C8BA345BDDB31ZAB2F" TargetMode="External"/><Relationship Id="rId42" Type="http://schemas.openxmlformats.org/officeDocument/2006/relationships/hyperlink" Target="consultantplus://offline/ref=A394CDE233DC03AD389931DDAD89155C866F19142C8BA345BDDB31A290DB4CA326A669CA61D9ZAB3F" TargetMode="External"/><Relationship Id="rId47" Type="http://schemas.openxmlformats.org/officeDocument/2006/relationships/hyperlink" Target="consultantplus://offline/ref=A394CDE233DC03AD389931DDAD89155C866F19142C8BA345BDDB31A290DB4CA326A669C969D3ZABE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A394CDE233DC03AD389930D9BE89155C8661161620D9F447EC8E3FA7988B04B368E361CE68D0A2DBZ4B8F" TargetMode="External"/><Relationship Id="rId12" Type="http://schemas.openxmlformats.org/officeDocument/2006/relationships/hyperlink" Target="consultantplus://offline/ref=A394CDE233DC03AD389930D9BE89155C8661181C27DEF447EC8E3FA7988B04B368E361CE68D5AFD3Z4B5F" TargetMode="External"/><Relationship Id="rId17" Type="http://schemas.openxmlformats.org/officeDocument/2006/relationships/hyperlink" Target="consultantplus://offline/ref=A394CDE233DC03AD389930D9BE89155C8661161620D9F447EC8E3FA7988B04B368E361CE68D0A4D6Z4B3F" TargetMode="External"/><Relationship Id="rId25" Type="http://schemas.openxmlformats.org/officeDocument/2006/relationships/hyperlink" Target="consultantplus://offline/ref=A394CDE233DC03AD389930D9BE89155C8662111226DCF447EC8E3FA7988B04B368E361CE68D0A6D3Z4B4F" TargetMode="External"/><Relationship Id="rId33" Type="http://schemas.openxmlformats.org/officeDocument/2006/relationships/hyperlink" Target="consultantplus://offline/ref=A394CDE233DC03AD389931DDAD89155C866F19142C8BA345BDDB31A290DB4CA326A668C668D4ZAB5F" TargetMode="External"/><Relationship Id="rId38" Type="http://schemas.openxmlformats.org/officeDocument/2006/relationships/hyperlink" Target="consultantplus://offline/ref=A394CDE233DC03AD389931DDAD89155C866F19142C8BA345BDDB31A290DB4CA326A669C968D0ZAB2F" TargetMode="External"/><Relationship Id="rId46" Type="http://schemas.openxmlformats.org/officeDocument/2006/relationships/hyperlink" Target="consultantplus://offline/ref=A394CDE233DC03AD389931DDAD89155C866F19142C8BA345BDDB31A290DB4CA326A66ECB69D5ZAB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94CDE233DC03AD389930D9BE89155C8661171323DAF447EC8E3FA7988B04B368E361CE68D0A7D5Z4B8F" TargetMode="External"/><Relationship Id="rId20" Type="http://schemas.openxmlformats.org/officeDocument/2006/relationships/hyperlink" Target="consultantplus://offline/ref=A394CDE233DC03AD389930D9BE89155C8661161620D9F447EC8E3FA7988B04B368E361CE68D1A6D2Z4B7F" TargetMode="External"/><Relationship Id="rId29" Type="http://schemas.openxmlformats.org/officeDocument/2006/relationships/hyperlink" Target="consultantplus://offline/ref=A394CDE233DC03AD389930D9BE89155C8661151C21DEF447EC8E3FA7988B04B368E361CE68D0A6D7Z4B3F" TargetMode="External"/><Relationship Id="rId41" Type="http://schemas.openxmlformats.org/officeDocument/2006/relationships/hyperlink" Target="consultantplus://offline/ref=A394CDE233DC03AD389931DDAD89155C866F19142C8BA345BDDB31A290DB4CA326A669C968D0ZAB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4CDE233DC03AD389930D9BE89155C8662141322DCF447EC8E3FA798Z8BBF" TargetMode="External"/><Relationship Id="rId11" Type="http://schemas.openxmlformats.org/officeDocument/2006/relationships/hyperlink" Target="consultantplus://offline/ref=A394CDE233DC03AD389930D9BE89155C8661121020DCF447EC8E3FA7988B04B368E361CE68D0A2D6Z4B9F" TargetMode="External"/><Relationship Id="rId24" Type="http://schemas.openxmlformats.org/officeDocument/2006/relationships/hyperlink" Target="consultantplus://offline/ref=A394CDE233DC03AD389930D9BE89155C8662111226DCF447EC8E3FA7988B04B368E361CE68D0A6D3Z4B2F" TargetMode="External"/><Relationship Id="rId32" Type="http://schemas.openxmlformats.org/officeDocument/2006/relationships/hyperlink" Target="consultantplus://offline/ref=A394CDE233DC03AD389931DDAD89155C866F19142C8BA345BDDB31A290DB4CA326A66CC869D8ZAB6F" TargetMode="External"/><Relationship Id="rId37" Type="http://schemas.openxmlformats.org/officeDocument/2006/relationships/hyperlink" Target="consultantplus://offline/ref=A394CDE233DC03AD389931DDAD89155C866F19142C8BA345BDDB31A290DB4CA326A669CA61D9ZAB5F" TargetMode="External"/><Relationship Id="rId40" Type="http://schemas.openxmlformats.org/officeDocument/2006/relationships/hyperlink" Target="consultantplus://offline/ref=A394CDE233DC03AD389931DDAD89155C866F19142C8BA345BDDB31A290DB4CA326A66CCB6AD1ZABFF" TargetMode="External"/><Relationship Id="rId45" Type="http://schemas.openxmlformats.org/officeDocument/2006/relationships/hyperlink" Target="consultantplus://offline/ref=A394CDE233DC03AD389931DDAD89155C866F19142C8BA345BDDB31A290DB4CA326A669C969D3ZAB3F" TargetMode="External"/><Relationship Id="rId5" Type="http://schemas.openxmlformats.org/officeDocument/2006/relationships/hyperlink" Target="consultantplus://offline/ref=A394CDE233DC03AD389930D9BE89155C8661161620D9F447EC8E3FA7988B04B368E361CE68D1A7D5Z4B2F" TargetMode="External"/><Relationship Id="rId15" Type="http://schemas.openxmlformats.org/officeDocument/2006/relationships/hyperlink" Target="consultantplus://offline/ref=A394CDE233DC03AD389930D9BE89155C8E6F161326D6A94DE4D733A59F845BA46FAA6DCF68D0A6ZDB7F" TargetMode="External"/><Relationship Id="rId23" Type="http://schemas.openxmlformats.org/officeDocument/2006/relationships/hyperlink" Target="consultantplus://offline/ref=A394CDE233DC03AD389930D9BE89155C8665121520DCF447EC8E3FA7988B04B368E361CE68D0A4DAZ4B6F" TargetMode="External"/><Relationship Id="rId28" Type="http://schemas.openxmlformats.org/officeDocument/2006/relationships/hyperlink" Target="consultantplus://offline/ref=A394CDE233DC03AD389930D9BE89155C8661171D2ED9F447EC8E3FA7988B04B368E361CE68D0A6D2Z4B7F" TargetMode="External"/><Relationship Id="rId36" Type="http://schemas.openxmlformats.org/officeDocument/2006/relationships/hyperlink" Target="consultantplus://offline/ref=A394CDE233DC03AD389931DDAD89155C866F19142C8BA345BDDB31A290DB4CA326A668C66ED4ZAB0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A394CDE233DC03AD389930D9BE89155C8661121020DCF447EC8E3FA7988B04B368E361CE68D0A5DAZ4B9F" TargetMode="External"/><Relationship Id="rId19" Type="http://schemas.openxmlformats.org/officeDocument/2006/relationships/hyperlink" Target="consultantplus://offline/ref=A394CDE233DC03AD389930D9BE89155C8661171D2ED9F447EC8E3FA7988B04B368E361CE68D0A6D2Z4B7F" TargetMode="External"/><Relationship Id="rId31" Type="http://schemas.openxmlformats.org/officeDocument/2006/relationships/hyperlink" Target="consultantplus://offline/ref=A394CDE233DC03AD389931DDAD89155C866F19142C8BA345BDDB31A290DB4CA326A66CC869D3ZAB5F" TargetMode="External"/><Relationship Id="rId44" Type="http://schemas.openxmlformats.org/officeDocument/2006/relationships/hyperlink" Target="consultantplus://offline/ref=A394CDE233DC03AD389931DDAD89155C866F19142C8BA345BDDB31A290DB4CA326A669C969D3ZAB0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94CDE233DC03AD389930D9BE89155C8661121020DCF447EC8E3FA7988B04B368E361CE68D0A2D6Z4B3F" TargetMode="External"/><Relationship Id="rId14" Type="http://schemas.openxmlformats.org/officeDocument/2006/relationships/hyperlink" Target="consultantplus://offline/ref=A394CDE233DC03AD389930D9BE89155C8662151725D5F447EC8E3FA798Z8BBF" TargetMode="External"/><Relationship Id="rId22" Type="http://schemas.openxmlformats.org/officeDocument/2006/relationships/hyperlink" Target="consultantplus://offline/ref=A394CDE233DC03AD389930D9BE89155C8661161620D9F447EC8E3FA7988B04B368E361CE68D1A6D2Z4B7F" TargetMode="External"/><Relationship Id="rId27" Type="http://schemas.openxmlformats.org/officeDocument/2006/relationships/hyperlink" Target="consultantplus://offline/ref=A394CDE233DC03AD389930D9BE89155C8661161620D9F447EC8E3FA7988B04B368E361CE68ZDB8F" TargetMode="External"/><Relationship Id="rId30" Type="http://schemas.openxmlformats.org/officeDocument/2006/relationships/hyperlink" Target="consultantplus://offline/ref=A394CDE233DC03AD389930D9BE89155C8662111525DDF447EC8E3FA7988B04B368E361CE68D0A6D4Z4B0F" TargetMode="External"/><Relationship Id="rId35" Type="http://schemas.openxmlformats.org/officeDocument/2006/relationships/hyperlink" Target="consultantplus://offline/ref=A394CDE233DC03AD389931DDAD89155C866F19142C8BA345BDDB31A290DB4CA326A66CCB6BD4ZAB4F" TargetMode="External"/><Relationship Id="rId43" Type="http://schemas.openxmlformats.org/officeDocument/2006/relationships/hyperlink" Target="consultantplus://offline/ref=A394CDE233DC03AD389931DDAD89155C866F19142C8BA345BDDB31A290DB4CA326A669CA61D9ZAB1F" TargetMode="External"/><Relationship Id="rId48" Type="http://schemas.openxmlformats.org/officeDocument/2006/relationships/hyperlink" Target="consultantplus://offline/ref=A394CDE233DC03AD389931DDAD89155C866F19142C8BA345BDDB31A290DB4CA326A669C969D5ZAB3F" TargetMode="External"/><Relationship Id="rId8" Type="http://schemas.openxmlformats.org/officeDocument/2006/relationships/hyperlink" Target="consultantplus://offline/ref=A394CDE233DC03AD389930D9BE89155C8661121020DCF447EC8E3FA7988B04B368E361CE68D0A6D0Z4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8990</Words>
  <Characters>51249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2015-05-20T05:01:00Z</dcterms:created>
  <dcterms:modified xsi:type="dcterms:W3CDTF">2015-05-20T05:01:00Z</dcterms:modified>
</cp:coreProperties>
</file>