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Документ предоставлен </w:t>
      </w:r>
      <w:hyperlink r:id="rId4" w:history="1">
        <w:r>
          <w:rPr>
            <w:rFonts w:ascii="Calibri" w:hAnsi="Calibri" w:cs="Calibri"/>
            <w:color w:val="0000FF"/>
          </w:rPr>
          <w:t>КонсультантПлюс</w:t>
        </w:r>
      </w:hyperlink>
      <w:r>
        <w:rPr>
          <w:rFonts w:ascii="Calibri" w:hAnsi="Calibri" w:cs="Calibri"/>
        </w:rPr>
        <w:br/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Calibri" w:hAnsi="Calibri" w:cs="Calibri"/>
        </w:rPr>
      </w:pPr>
      <w:bookmarkStart w:id="0" w:name="Par1"/>
      <w:bookmarkEnd w:id="0"/>
      <w:r>
        <w:rPr>
          <w:rFonts w:ascii="Calibri" w:hAnsi="Calibri" w:cs="Calibri"/>
        </w:rPr>
        <w:t>Зарегистрировано в Минюсте России 27 февраля 2015 г. N 36268</w:t>
      </w:r>
    </w:p>
    <w:p w:rsidR="006E0F0D" w:rsidRDefault="006E0F0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МИНИСТЕРСТВО ЗДРАВООХРАНЕНИЯ РОССИЙСКОЙ ФЕДЕРАЦИИ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ПРИКАЗ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от 3 февраля 2015 г. N 36ан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УТВЕРЖДЕНИИ ПОРЯДКА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ДИСПАНСЕРИЗАЦИИ ОПРЕДЕЛЕННЫХ ГРУПП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ВЗРОСЛОГО НАСЕЛЕНИЯ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соответствии со </w:t>
      </w:r>
      <w:hyperlink r:id="rId5" w:history="1">
        <w:r>
          <w:rPr>
            <w:rFonts w:ascii="Calibri" w:hAnsi="Calibri" w:cs="Calibri"/>
            <w:color w:val="0000FF"/>
          </w:rPr>
          <w:t>статьей 46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 (2011, N 48, ст. 6724; 2013, N 48, ст. 6165) приказываю: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1. Утвердить </w:t>
      </w:r>
      <w:hyperlink w:anchor="Par30" w:history="1">
        <w:r>
          <w:rPr>
            <w:rFonts w:ascii="Calibri" w:hAnsi="Calibri" w:cs="Calibri"/>
            <w:color w:val="0000FF"/>
          </w:rPr>
          <w:t>порядок</w:t>
        </w:r>
      </w:hyperlink>
      <w:r>
        <w:rPr>
          <w:rFonts w:ascii="Calibri" w:hAnsi="Calibri" w:cs="Calibri"/>
        </w:rPr>
        <w:t xml:space="preserve"> проведения диспансеризации определенных групп взрослого населения согласно приложению.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Признать утратившим силу </w:t>
      </w:r>
      <w:hyperlink r:id="rId6" w:history="1">
        <w:r>
          <w:rPr>
            <w:rFonts w:ascii="Calibri" w:hAnsi="Calibri" w:cs="Calibri"/>
            <w:color w:val="0000FF"/>
          </w:rPr>
          <w:t>приказ</w:t>
        </w:r>
      </w:hyperlink>
      <w:r>
        <w:rPr>
          <w:rFonts w:ascii="Calibri" w:hAnsi="Calibri" w:cs="Calibri"/>
        </w:rPr>
        <w:t xml:space="preserve"> Министерства здравоохранения Российской Федерации от 3 декабря 2012 г. N 1006н "Об утверждении порядка проведения диспансеризации определенных групп взрослого населения" (зарегистрирован в Министерстве юстиции Российской Федерации 1 апреля 2013 г., регистрационный N 27930).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Настоящий приказ вступает в силу с 1 апреля 2015 года.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Врио Министра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Д.В.КОСТЕННИКОВ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bookmarkStart w:id="1" w:name="Par25"/>
      <w:bookmarkEnd w:id="1"/>
      <w:r>
        <w:rPr>
          <w:rFonts w:ascii="Calibri" w:hAnsi="Calibri" w:cs="Calibri"/>
        </w:rPr>
        <w:t>Приложение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приказу Министерства здравоохранения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 февраля 2015 г. N 36ан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bookmarkStart w:id="2" w:name="Par30"/>
      <w:bookmarkEnd w:id="2"/>
      <w:r>
        <w:rPr>
          <w:rFonts w:ascii="Calibri" w:hAnsi="Calibri" w:cs="Calibri"/>
          <w:b/>
          <w:bCs/>
        </w:rPr>
        <w:t>ПОРЯДОК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ПРОВЕДЕНИЯ ДИСПАНСЕРИЗАЦИИ ОПРЕДЕЛЕННЫХ ГРУПП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ВЗРОСЛОГО НАСЕЛЕНИЯ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1. Настоящий Порядок регулирует вопросы, связанные с проведением в медицинских организациях диспансеризации следующих групп взрослого населения (в возрасте от 18 лет и старше):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работающие граждане;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неработающие граждане;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обучающиеся в образовательных организациях по очной форме.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Настоящий Порядок не применяется в случаях, когда законодательными и иными нормативными правовыми актами Российской Федерации установлен иной порядок проведения диспансеризации отдельных категорий граждан.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2. Диспансеризация представляет собой комплекс мероприятий, в том числе медицинский осмотр врачами нескольких специальностей и применение необходимых методов обследования, осуществляемых в отношении определенных групп населения в соответствии с законодательством </w:t>
      </w:r>
      <w:r>
        <w:rPr>
          <w:rFonts w:ascii="Calibri" w:hAnsi="Calibri" w:cs="Calibri"/>
        </w:rPr>
        <w:lastRenderedPageBreak/>
        <w:t>Российской Федерации &lt;1&gt;.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</w:t>
      </w:r>
      <w:hyperlink r:id="rId7" w:history="1">
        <w:r>
          <w:rPr>
            <w:rFonts w:ascii="Calibri" w:hAnsi="Calibri" w:cs="Calibri"/>
            <w:color w:val="0000FF"/>
          </w:rPr>
          <w:t>Статья 46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48, ст. 6165).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3. Диспансеризация взрослого населения проводится путем углубленного обследования состояния здоровья граждан в целях: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раннего выявления хронических неинфекционных заболеваний (состояний), являющихся основной причиной инвалидности и преждевременной смертности населения Российской Федерации (далее - хронические неинфекционные заболевания), основных факторов риска их развития (повышенный уровень артериального давления, дислипидемия, повышенный уровень глюкозы в крови, курение табака, пагубное потребление алкоголя, нерациональное питание, низкая физическая активность, избыточная масса тела или ожирение), а также потребления наркотических средств и психотропных веществ без назначения врача;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определения группы состояния здоровья, необходимых профилактических, лечебных, реабилитационных и оздоровительных мероприятий для граждан с выявленными хроническими неинфекционными заболеваниями и (или) факторами риска их развития, граждан с иными заболеваниями (состояниями), а также для здоровых граждан;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проведения краткого профилактического консультирования граждан с выявленными хроническими неинфекционными заболеваниями и (или) факторами риска их развития, здоровых граждан, а также проведения индивидуального углубленного профилактического консультирования и группового профилактического консультирования (школ пациента) граждан с высоким и очень высоким суммарным сердечно-сосудистым риском;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определения группы диспансерного наблюдения граждан с выявленными хроническими неинфекционными заболеваниями и иными заболеваниями (состояниями), а также граждан с высоким и очень высоким суммарным сердечно-сосудистым риском.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4. Диспансеризация проводится 1 раз в 3 года в возрастные периоды, предусмотренные </w:t>
      </w:r>
      <w:hyperlink w:anchor="Par212" w:history="1">
        <w:r>
          <w:rPr>
            <w:rFonts w:ascii="Calibri" w:hAnsi="Calibri" w:cs="Calibri"/>
            <w:color w:val="0000FF"/>
          </w:rPr>
          <w:t>приложением N 1</w:t>
        </w:r>
      </w:hyperlink>
      <w:r>
        <w:rPr>
          <w:rFonts w:ascii="Calibri" w:hAnsi="Calibri" w:cs="Calibri"/>
        </w:rPr>
        <w:t xml:space="preserve"> к настоящему Порядку &lt;1&gt;, за исключением: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Годом прохождения диспансеризации считается календарный год, в котором гражданин достигает соответствующего возраста.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3" w:name="Par52"/>
      <w:bookmarkEnd w:id="3"/>
      <w:r>
        <w:rPr>
          <w:rFonts w:ascii="Calibri" w:hAnsi="Calibri" w:cs="Calibri"/>
        </w:rPr>
        <w:t>1) инвалидов Великой Отечественной войны и инвалидов боевых действий, а также участников Великой Отечественной войны, ставших инвалидами вследствие общего заболевания, трудового увечья или других причин (кроме лиц, инвалидность которых наступила вследствие их противоправных действий) &lt;1&gt;;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В соответствии со </w:t>
      </w:r>
      <w:hyperlink r:id="rId8" w:history="1">
        <w:r>
          <w:rPr>
            <w:rFonts w:ascii="Calibri" w:hAnsi="Calibri" w:cs="Calibri"/>
            <w:color w:val="0000FF"/>
          </w:rPr>
          <w:t>статьей 4</w:t>
        </w:r>
      </w:hyperlink>
      <w:r>
        <w:rPr>
          <w:rFonts w:ascii="Calibri" w:hAnsi="Calibri" w:cs="Calibri"/>
        </w:rPr>
        <w:t xml:space="preserve">, </w:t>
      </w:r>
      <w:hyperlink r:id="rId9" w:history="1">
        <w:r>
          <w:rPr>
            <w:rFonts w:ascii="Calibri" w:hAnsi="Calibri" w:cs="Calibri"/>
            <w:color w:val="0000FF"/>
          </w:rPr>
          <w:t>подпунктом 11 пункта 1 статьи 14</w:t>
        </w:r>
      </w:hyperlink>
      <w:r>
        <w:rPr>
          <w:rFonts w:ascii="Calibri" w:hAnsi="Calibri" w:cs="Calibri"/>
        </w:rPr>
        <w:t xml:space="preserve"> и </w:t>
      </w:r>
      <w:hyperlink r:id="rId10" w:history="1">
        <w:r>
          <w:rPr>
            <w:rFonts w:ascii="Calibri" w:hAnsi="Calibri" w:cs="Calibri"/>
            <w:color w:val="0000FF"/>
          </w:rPr>
          <w:t>пунктом 2 статьи 15</w:t>
        </w:r>
      </w:hyperlink>
      <w:r>
        <w:rPr>
          <w:rFonts w:ascii="Calibri" w:hAnsi="Calibri" w:cs="Calibri"/>
        </w:rPr>
        <w:t xml:space="preserve"> Федерального закона от 12 января 1995 г. N 5-ФЗ "О ветеранах" (Собрание законодательства Российской Федерации, 1995, N 3, ст. 168; 2002, N 30, ст. 3033; 2004, N 25, ст. 2480; N 35, ст. 3607; 2005, N 19, ст. 1748; 2008, N 30, ст. 3609; 2009, N 26, ст. 3133; N 30, ст. 3739; N 52, ст. 6403; 2010, N 19, ст. 2287; N 27, ст. 3433; N 31, ст. 4206; N 50, ст. 6609; 2011, N 47, ст. 6608; 2013, N 27, ст. 3477; N 48, ст. 6165; 2014, N 52, ст. 7537).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лиц, награжденных знаком "Жителю блокадного Ленинграда" и признанных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 &lt;1&gt;;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В соответствии с </w:t>
      </w:r>
      <w:hyperlink r:id="rId11" w:history="1">
        <w:r>
          <w:rPr>
            <w:rFonts w:ascii="Calibri" w:hAnsi="Calibri" w:cs="Calibri"/>
            <w:color w:val="0000FF"/>
          </w:rPr>
          <w:t>подпунктом 1 пункта 2 статьи 18</w:t>
        </w:r>
      </w:hyperlink>
      <w:r>
        <w:rPr>
          <w:rFonts w:ascii="Calibri" w:hAnsi="Calibri" w:cs="Calibri"/>
        </w:rPr>
        <w:t xml:space="preserve"> Федерального закона от 12 января 1995 г. N 5-ФЗ "О ветеранах" (Собрание законодательства Российской Федерации, 1995, N 3, ст. 168; 2000, N 19, ст. 2023; 2004, N 35, ст. 3607; 2005, N 1, ст. 25; N 19, ст. 1748; 2009, N 26, ст. 3133; N 52, ст. 6403; 2010, N 19, ст. 2287; N 31, ст. 4206; N 50, ст. 6609; 2013, N 48, ст. 6165).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4" w:name="Par60"/>
      <w:bookmarkEnd w:id="4"/>
      <w:r>
        <w:rPr>
          <w:rFonts w:ascii="Calibri" w:hAnsi="Calibri" w:cs="Calibri"/>
        </w:rPr>
        <w:lastRenderedPageBreak/>
        <w:t>3) бывших несовершеннолетних узников концлагерей, гетто, других мест принудительного содержания, созданных фашистами и их союзниками в период второй мировой войны, признанных инвалидами вследствие общего заболевания, трудового увечья и других причин (за исключением лиц, инвалидность которых наступила вследствие их противоправных действий) &lt;1&gt;.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В соответствии с </w:t>
      </w:r>
      <w:hyperlink r:id="rId12" w:history="1">
        <w:r>
          <w:rPr>
            <w:rFonts w:ascii="Calibri" w:hAnsi="Calibri" w:cs="Calibri"/>
            <w:color w:val="0000FF"/>
          </w:rPr>
          <w:t>частью 8 статьи 154</w:t>
        </w:r>
      </w:hyperlink>
      <w:r>
        <w:rPr>
          <w:rFonts w:ascii="Calibri" w:hAnsi="Calibri" w:cs="Calibri"/>
        </w:rPr>
        <w:t xml:space="preserve"> Федерального закона от 22 августа 2004 г.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3607; 2013, N 14, ст. 1654).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Указанные в </w:t>
      </w:r>
      <w:hyperlink w:anchor="Par52" w:history="1">
        <w:r>
          <w:rPr>
            <w:rFonts w:ascii="Calibri" w:hAnsi="Calibri" w:cs="Calibri"/>
            <w:color w:val="0000FF"/>
          </w:rPr>
          <w:t>подпунктах 1</w:t>
        </w:r>
      </w:hyperlink>
      <w:r>
        <w:rPr>
          <w:rFonts w:ascii="Calibri" w:hAnsi="Calibri" w:cs="Calibri"/>
        </w:rPr>
        <w:t xml:space="preserve"> - </w:t>
      </w:r>
      <w:hyperlink w:anchor="Par60" w:history="1">
        <w:r>
          <w:rPr>
            <w:rFonts w:ascii="Calibri" w:hAnsi="Calibri" w:cs="Calibri"/>
            <w:color w:val="0000FF"/>
          </w:rPr>
          <w:t>3</w:t>
        </w:r>
      </w:hyperlink>
      <w:r>
        <w:rPr>
          <w:rFonts w:ascii="Calibri" w:hAnsi="Calibri" w:cs="Calibri"/>
        </w:rPr>
        <w:t xml:space="preserve"> настоящего пункта категории граждан проходят диспансеризацию ежегодно вне зависимости от возраста.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5. Перечень осмотров (консультаций) врачами-специалистами (фельдшером или акушеркой), исследований и иных медицинских мероприятий, проводимых в рамках диспансеризации в зависимости от возраста и пола гражданина (объем диспансеризации), определяется в соответствии с </w:t>
      </w:r>
      <w:hyperlink w:anchor="Par212" w:history="1">
        <w:r>
          <w:rPr>
            <w:rFonts w:ascii="Calibri" w:hAnsi="Calibri" w:cs="Calibri"/>
            <w:color w:val="0000FF"/>
          </w:rPr>
          <w:t>приложением N 1</w:t>
        </w:r>
      </w:hyperlink>
      <w:r>
        <w:rPr>
          <w:rFonts w:ascii="Calibri" w:hAnsi="Calibri" w:cs="Calibri"/>
        </w:rPr>
        <w:t xml:space="preserve"> к настоящему Порядку.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Диспансеризация граждан, указанных в </w:t>
      </w:r>
      <w:hyperlink w:anchor="Par52" w:history="1">
        <w:r>
          <w:rPr>
            <w:rFonts w:ascii="Calibri" w:hAnsi="Calibri" w:cs="Calibri"/>
            <w:color w:val="0000FF"/>
          </w:rPr>
          <w:t>подпунктах 1</w:t>
        </w:r>
      </w:hyperlink>
      <w:r>
        <w:rPr>
          <w:rFonts w:ascii="Calibri" w:hAnsi="Calibri" w:cs="Calibri"/>
        </w:rPr>
        <w:t xml:space="preserve"> - </w:t>
      </w:r>
      <w:hyperlink w:anchor="Par60" w:history="1">
        <w:r>
          <w:rPr>
            <w:rFonts w:ascii="Calibri" w:hAnsi="Calibri" w:cs="Calibri"/>
            <w:color w:val="0000FF"/>
          </w:rPr>
          <w:t>3 пункта 4</w:t>
        </w:r>
      </w:hyperlink>
      <w:r>
        <w:rPr>
          <w:rFonts w:ascii="Calibri" w:hAnsi="Calibri" w:cs="Calibri"/>
        </w:rPr>
        <w:t xml:space="preserve"> настоящего Порядка, проводится в объеме, соответствующем объему диспансеризации, предусмотренному </w:t>
      </w:r>
      <w:hyperlink w:anchor="Par212" w:history="1">
        <w:r>
          <w:rPr>
            <w:rFonts w:ascii="Calibri" w:hAnsi="Calibri" w:cs="Calibri"/>
            <w:color w:val="0000FF"/>
          </w:rPr>
          <w:t>приложением N 1</w:t>
        </w:r>
      </w:hyperlink>
      <w:r>
        <w:rPr>
          <w:rFonts w:ascii="Calibri" w:hAnsi="Calibri" w:cs="Calibri"/>
        </w:rPr>
        <w:t xml:space="preserve"> к настоящему Порядку для граждан ближайшей возрастной категории, за исключением исследований, имеющих медицинские противопоказания к ежегодному проведению &lt;1&gt;.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Флюорография легких и маммография проводятся 1 раз в 2 года, мазок (соскоб) с поверхности шейки матки (наружного маточного зева) и цервикального канала на цитологическое исследование проводится 1 раз в 3 года.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6. Диспансеризация взрослого населения проводится медицинскими организациями (иными организациями, осуществляющими медицинскую деятельность) (далее - медицинская организация) независимо от организационно-правовой формы, участвующими в реализации </w:t>
      </w:r>
      <w:hyperlink r:id="rId13" w:history="1">
        <w:r>
          <w:rPr>
            <w:rFonts w:ascii="Calibri" w:hAnsi="Calibri" w:cs="Calibri"/>
            <w:color w:val="0000FF"/>
          </w:rPr>
          <w:t>программы</w:t>
        </w:r>
      </w:hyperlink>
      <w:r>
        <w:rPr>
          <w:rFonts w:ascii="Calibri" w:hAnsi="Calibri" w:cs="Calibri"/>
        </w:rPr>
        <w:t xml:space="preserve">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 в части оказания первичной медико-санитарной помощи, при наличии лицензии на осуществление медицинской деятельности, предусматривающей работы (услуги) по "медицинским осмотрам профилактическим", "терапии", "акушерству и гинекологии" &lt;1&gt; или "акушерству и гинекологии (за исключением вспомогательных репродуктивных технологий)", "акушерскому делу" или "лечебному делу", "офтальмологии", "неврологии", "хирургии", "рентгенологии", "клинической лабораторной диагностике" или "лабораторной диагностике", "функциональной диагностике", "ультразвуковой диагностике", "эндоскопии".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Для лицензий на осуществление медицинской деятельности, выданных до вступления в силу </w:t>
      </w:r>
      <w:hyperlink r:id="rId14" w:history="1">
        <w:r>
          <w:rPr>
            <w:rFonts w:ascii="Calibri" w:hAnsi="Calibri" w:cs="Calibri"/>
            <w:color w:val="0000FF"/>
          </w:rPr>
          <w:t>постановления</w:t>
        </w:r>
      </w:hyperlink>
      <w:r>
        <w:rPr>
          <w:rFonts w:ascii="Calibri" w:hAnsi="Calibri" w:cs="Calibri"/>
        </w:rPr>
        <w:t xml:space="preserve"> Правительства Российской Федерации от 16 апреля 2012 г. N 291 "О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"Сколково")" (Собрание законодательства Российской Федерации, 2012, N 17, ст. 1965; N 37, ст. 5002; 2013, N 3, ст. 207; N 16, ст. 1970).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отсутствия у медицинской организации, осуществляющей диспансеризацию, лицензии на осуществление медицинской деятельности по отдельным видам работ (услуг), необходимым для проведения диспансеризации в полном объеме, медицинская организация </w:t>
      </w:r>
      <w:r>
        <w:rPr>
          <w:rFonts w:ascii="Calibri" w:hAnsi="Calibri" w:cs="Calibri"/>
        </w:rPr>
        <w:lastRenderedPageBreak/>
        <w:t>заключает договор с иной медицинской организацией, имеющей лицензию на требуемые виды работ (услуг), о привлечении соответствующих медицинских работников к проведению диспансеризации.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7. Гражданин проходит диспансеризацию в медицинской организации, в которой он получает первичную медико-санитарную помощь.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8. Диспансеризация проводится при наличии информированного добровольного согласия гражданина или его </w:t>
      </w:r>
      <w:hyperlink r:id="rId15" w:history="1">
        <w:r>
          <w:rPr>
            <w:rFonts w:ascii="Calibri" w:hAnsi="Calibri" w:cs="Calibri"/>
            <w:color w:val="0000FF"/>
          </w:rPr>
          <w:t>законного представителя</w:t>
        </w:r>
      </w:hyperlink>
      <w:r>
        <w:rPr>
          <w:rFonts w:ascii="Calibri" w:hAnsi="Calibri" w:cs="Calibri"/>
        </w:rPr>
        <w:t xml:space="preserve"> (в отношении лица, признанного в установленном законом </w:t>
      </w:r>
      <w:hyperlink r:id="rId16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 xml:space="preserve"> недееспособным, если такое лицо по своему состоянию не способно дать согласие на медицинское вмешательство), данного с соблюдением требований, установленных </w:t>
      </w:r>
      <w:hyperlink r:id="rId17" w:history="1">
        <w:r>
          <w:rPr>
            <w:rFonts w:ascii="Calibri" w:hAnsi="Calibri" w:cs="Calibri"/>
            <w:color w:val="0000FF"/>
          </w:rPr>
          <w:t>статьей 20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Гражданин вправе отказаться от проведения диспансеризации в целом либо от отдельных видов медицинских вмешательств, входящих в объем диспансеризации.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9. Руководитель медицинской организации и медицинские работники отделения (кабинета) медицинской профилактики (в том числе входящего в состав центра здоровья) являются ответственными за организацию и проведение диспансеризации населения, находящегося на медицинском обслуживании в медицинской организации.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Врач-терапевт (врач-терапевт участковый, врач-терапевт цехового врачебного участка, врач общей практики (семейный врач)) (далее - врач-терапевт) является ответственным за организацию и проведение диспансеризации населения терапевтического, в том числе цехового, участка (участка врача общей практики (семейного врача)), обслуживаемой территории (далее - участок).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Фельдшер фельдшерского здравпункта или фельдшерско-акушерского пункта является ответственным за проведение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лечения, в том числе по проведению диспансеризации, в </w:t>
      </w:r>
      <w:hyperlink r:id="rId18" w:history="1">
        <w:r>
          <w:rPr>
            <w:rFonts w:ascii="Calibri" w:hAnsi="Calibri" w:cs="Calibri"/>
            <w:color w:val="0000FF"/>
          </w:rPr>
          <w:t>порядке</w:t>
        </w:r>
      </w:hyperlink>
      <w:r>
        <w:rPr>
          <w:rFonts w:ascii="Calibri" w:hAnsi="Calibri" w:cs="Calibri"/>
        </w:rPr>
        <w:t>, установленном приказом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N 23971).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10. Основными задачами фельдшера фельдшерского здравпункта или фельдшерско-акушерского пункта при проведении диспансеризации являются: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составление списков граждан, подлежащих диспансеризации в текущем календарном году, и плана проведения диспансеризации на текущий календарный год с учетом возрастной категории граждан;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активное привлечение населения к прохождению диспансеризации, информирование о ее целях и задачах, объеме проводимого обследования и графике работы подразделений медицинской организации, участвующих в проведении диспансеризации, необходимых подготовительных мероприятиях, а также повышение мотивации граждан к прохождению диспансеризации, в том числе путем проведения разъяснительных бесед на уровне семьи, организованного коллектива;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инструктаж граждан, прибывших на диспансеризацию, о порядке ее прохождения, объеме и последовательности проведения обследования;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выполнение доврачебных медицинских исследований первого этапа диспансеризации (опрос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врача, антропометрия, расчет индекса массы тела, измерение артериального давления, а также определение уровня общего холестерина и уровня глюкозы в крови экспресс-методом, измерение внутриглазного давления бесконтактным методом, осмотр фельдшером, включая </w:t>
      </w:r>
      <w:r>
        <w:rPr>
          <w:rFonts w:ascii="Calibri" w:hAnsi="Calibri" w:cs="Calibri"/>
        </w:rPr>
        <w:lastRenderedPageBreak/>
        <w:t>взятие мазка (соскоба) с поверхности шейки матки (наружного маточного зева) и цервикального канала на цитологическое исследование) &lt;1&gt;;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При наличии необходимого оборудования.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5) определение факторов риска хронических неинфекционных заболеваний на основании диагностических критериев, предусмотренных </w:t>
      </w:r>
      <w:hyperlink w:anchor="Par1279" w:history="1">
        <w:r>
          <w:rPr>
            <w:rFonts w:ascii="Calibri" w:hAnsi="Calibri" w:cs="Calibri"/>
            <w:color w:val="0000FF"/>
          </w:rPr>
          <w:t>приложением N 2</w:t>
        </w:r>
      </w:hyperlink>
      <w:r>
        <w:rPr>
          <w:rFonts w:ascii="Calibri" w:hAnsi="Calibri" w:cs="Calibri"/>
        </w:rPr>
        <w:t xml:space="preserve"> к настоящему Порядку;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формирование комплекта документов, заполнение карты учета диспансеризации (профилактических медицинских осмотров) (далее - карта учета диспансеризации) по </w:t>
      </w:r>
      <w:hyperlink r:id="rId19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 xml:space="preserve">, утверждаемой в соответствии с </w:t>
      </w:r>
      <w:hyperlink r:id="rId20" w:history="1">
        <w:r>
          <w:rPr>
            <w:rFonts w:ascii="Calibri" w:hAnsi="Calibri" w:cs="Calibri"/>
            <w:color w:val="0000FF"/>
          </w:rPr>
          <w:t>частью 3 статьи 97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индивидуальное углубленное профилактическое консультирование или групповое профилактическое консультирование (школа пациента) по направлению врача-терапевта для граждан, отнесенных ко II и III группам состояния здоровья, в рамках второго этапа диспансеризации &lt;1&gt;;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Для фельдшерских здравпунктов и фельдшерско-акушерских пунктов, расположенных в удаленной или труднодоступной местности.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разъяснение гражданину с высоким риском развития угрожающего жизни заболевания (состояния) или его осложнения, а также лицам, совместно с ним проживающим, правил действий при их развитии, включая своевременный вызов бригады скорой медицинской помощи.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11. Основными задачами врача-терапевта при проведении диспансеризации являются: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составление списков граждан, подлежащих диспансеризации в текущем календарном году, и плана проведения диспансеризации на текущий календарный год с учетом возрастной категории граждан;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активное привлечение населения участка к прохождению диспансеризации, информирование о ее целях и задачах, объеме проводимого обследования и графике работы подразделений медицинской организации, участвующих в проведении диспансеризации, необходимых подготовительных мероприятиях, а также повышение мотивации граждан к прохождению диспансеризации, в том числе путем проведения разъяснительных бесед на уровне семьи, организованного коллектива;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проведение медицинского осмотра гражданина по итогам первого и второго этапов диспансеризации, установление диагноза заболевания (состояния), определение относительного суммарного сердечно-сосудистого риска у граждан в возрасте от 21 до 39 лет и абсолютного суммарного сердечно-сосудистого риска у граждан в возрасте от 42 до 65 лет, определение группы состояния здоровья, группы диспансерного наблюдения (с учетом заключений врачей-специалистов), назначение необходимого лечения, при наличии медицинских показаний направление на дополнительные диагностические исследования, не входящие в объем диспансеризации, для получения специализированной, в том числе высокотехнологичной, медицинской помощи, на санаторно-курортное лечение;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проведение краткого профилактического консультирования, включающего рекомендации по здоровому питанию, по уровню физической активности, отказу от курения табака и пагубного потребления алкоголя; направление граждан с выявленными факторами риска развития хронических неинфекционных заболеваний в отделение (кабинет) медицинской профилактики или центр здоровья, а также фельдшерский здравпункт или фельдшерско-акушерский пункт &lt;1&gt; для оказания медицинской помощи по коррекции указанных факторов риска;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Для фельдшерских здравпунктов и фельдшерско-акушерских пунктов, расположенных в удаленной или труднодоступной местности.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разъяснение гражданину с высоким риском развития угрожающего жизни заболевания (состояния) или его осложнения, а также лицам, совместно с ним проживающим, правил действий при их развитии, включая своевременный вызов бригады скорой медицинской помощи;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6) участие в оформлении (ведении) медицинской документации;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подведение итогов диспансеризации.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12. Основными задачами отделения (кабинета) медицинской профилактики медицинской организации, в том числе находящегося в составе центра здоровья, при проведении диспансеризации являются: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участие в информировании населения, находящегося на медицинском обслуживании в медицинской организации, о проведении диспансеризации, о ее целях и задачах, проведение разъяснительной работы и мотивирование граждан к прохождению диспансеризации;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инструктаж граждан, прибывших на диспансеризацию, о порядке ее прохождения, объеме и последовательности проведения обследования;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выполнение доврачебных медицинских исследований первого этапа диспансеризации (опрос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врача, антропометрия, расчет индекса массы тела, измерение артериального давления, определение уровня общего холестерина и уровня глюкозы в крови экспресс-методом, измерение внутриглазного давления бесконтактным методом);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4) определение факторов риска хронических неинфекционных заболеваний на основании диагностических критериев, предусмотренных </w:t>
      </w:r>
      <w:hyperlink w:anchor="Par1279" w:history="1">
        <w:r>
          <w:rPr>
            <w:rFonts w:ascii="Calibri" w:hAnsi="Calibri" w:cs="Calibri"/>
            <w:color w:val="0000FF"/>
          </w:rPr>
          <w:t>приложением N 2</w:t>
        </w:r>
      </w:hyperlink>
      <w:r>
        <w:rPr>
          <w:rFonts w:ascii="Calibri" w:hAnsi="Calibri" w:cs="Calibri"/>
        </w:rPr>
        <w:t xml:space="preserve"> к настоящему Порядку;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формирование комплекта документов, по результатам исследований, проведенных в рамках диспансеризации, для направления пациента на осмотры врачами-специалистами и врачом-терапевтом по итогам первого и второго этапов диспансеризации, включая заполнение карты учета диспансеризации;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6) учет граждан, прошедших каждый этап диспансеризации, включая заполнение карты учета диспансеризации и отчета о проведении диспансеризации по </w:t>
      </w:r>
      <w:hyperlink r:id="rId21" w:history="1">
        <w:r>
          <w:rPr>
            <w:rFonts w:ascii="Calibri" w:hAnsi="Calibri" w:cs="Calibri"/>
            <w:color w:val="0000FF"/>
          </w:rPr>
          <w:t>форме</w:t>
        </w:r>
      </w:hyperlink>
      <w:r>
        <w:rPr>
          <w:rFonts w:ascii="Calibri" w:hAnsi="Calibri" w:cs="Calibri"/>
        </w:rPr>
        <w:t xml:space="preserve">, утверждаемой в соответствии с </w:t>
      </w:r>
      <w:hyperlink r:id="rId22" w:history="1">
        <w:r>
          <w:rPr>
            <w:rFonts w:ascii="Calibri" w:hAnsi="Calibri" w:cs="Calibri"/>
            <w:color w:val="0000FF"/>
          </w:rPr>
          <w:t>частью 3 статьи 97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индивидуальное углубленное профилактическое консультирование или групповое профилактическое консультирование (школа пациента) по направлению врача-терапевта для граждан, отнесенных ко II и III группам состояния здоровья, в рамках второго этапа диспансеризации;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разъяснение гражданину с высоким риском развития угрожающего жизни заболевания (состояния) или его осложнения, а также лицам, совместно с ним проживающим, правил действий при их развитии, включая своевременный вызов бригады скорой медицинской помощи.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13. Диспансеризация проводится в два этапа.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5" w:name="Par117"/>
      <w:bookmarkEnd w:id="5"/>
      <w:r>
        <w:rPr>
          <w:rFonts w:ascii="Calibri" w:hAnsi="Calibri" w:cs="Calibri"/>
        </w:rPr>
        <w:t>13.1. 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диспансеризации, и включает в себя: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 (далее - анкетирование);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антропометрию (измерение роста стоя, массы тела, окружности талии), расчет индекса массы тела;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измерение артериального давления;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6" w:name="Par121"/>
      <w:bookmarkEnd w:id="6"/>
      <w:r>
        <w:rPr>
          <w:rFonts w:ascii="Calibri" w:hAnsi="Calibri" w:cs="Calibri"/>
        </w:rPr>
        <w:t>4) определение уровня общего холестерина в крови (допускается использование экспресс-метода);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7" w:name="Par122"/>
      <w:bookmarkEnd w:id="7"/>
      <w:r>
        <w:rPr>
          <w:rFonts w:ascii="Calibri" w:hAnsi="Calibri" w:cs="Calibri"/>
        </w:rPr>
        <w:t>5) определение уровня глюкозы в крови экспресс-методом (допускается лабораторный метод);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определение относительного суммарного сердечно-сосудистого риска у граждан в возрасте от 21 до 39 лет и абсолютного суммарного сердечно-сосудистого риска у граждан в возрасте от 40 до 65 лет, не имеющих заболеваний, связанных с атеросклерозом;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7) электрокардиографию в покое (для мужчин в возрасте старше 35 лет, для женщин в </w:t>
      </w:r>
      <w:r>
        <w:rPr>
          <w:rFonts w:ascii="Calibri" w:hAnsi="Calibri" w:cs="Calibri"/>
        </w:rPr>
        <w:lastRenderedPageBreak/>
        <w:t>возрасте 45 лет и старше, а для мужчин в возрасте до 35 лет и женщин в возрасте до 45 лет - при первичном прохождении диспансеризации);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осмотр фельдшером (акушеркой), включая взятие мазка (соскоба) с поверхности шейки матки (наружного маточного зева) и цервикального канала на цитологическое исследование (далее - мазок с шейки матки) (для женщин в возрасте от 21 года до 69 лет включительно) &lt;1&gt;;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За исключением случаев невозможности проведения исследования по медицинским показаниям в связи с экстирпацией матки, virgo. Допускается вместо осмотра фельдшером (акушеркой) проведение осмотра врачом акушером-гинекологом, включая взятие мазка с шейки матки. Цитологическое исследование мазка с шейки матки проводится при окрашивании мазка по Папаниколау.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флюорографию легких &lt;1&gt;;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Флюорография легких не проводится, если гражданину в течение предшествующего календарного года либо года проведения диспансеризации проводилась флюорография, рентгенография (рентгеноскопия) или компьютерная томография органов грудной клетки.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маммографию обеих молочных желез (для женщин в возрасте от 39 до 75 лет) &lt;1&gt;;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За исключением случаев невозможности проведения исследования по медицинским показаниям в связи с мастэктомией. При проведении в год прохождения диспансеризации компьютерной томографии молочных желез маммография не проводится.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клинический анализ крови (в объеме не менее определения концентрации гемоглобина в эритроцитах, количества лейкоцитов и скорости оседания эритроцитов);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клинический анализ крови развернутый (для граждан в возрасте от 39 лет и старше с периодичностью 1 раз в 6 лет вместо клинического анализа крови);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13) анализ крови биохимический общетерапевтический (в объеме не менее определения уровня креатинина, общего билирубина, аспартат-аминотрансаминазы, аланин-аминотрансаминазы, глюкозы, холестерина) (для граждан в возрасте 39 лет и старше с периодичностью 1 раз в 6 лет вместо исследований, предусмотренных </w:t>
      </w:r>
      <w:hyperlink w:anchor="Par121" w:history="1">
        <w:r>
          <w:rPr>
            <w:rFonts w:ascii="Calibri" w:hAnsi="Calibri" w:cs="Calibri"/>
            <w:color w:val="0000FF"/>
          </w:rPr>
          <w:t>подпунктами 4</w:t>
        </w:r>
      </w:hyperlink>
      <w:r>
        <w:rPr>
          <w:rFonts w:ascii="Calibri" w:hAnsi="Calibri" w:cs="Calibri"/>
        </w:rPr>
        <w:t xml:space="preserve"> и </w:t>
      </w:r>
      <w:hyperlink w:anchor="Par122" w:history="1">
        <w:r>
          <w:rPr>
            <w:rFonts w:ascii="Calibri" w:hAnsi="Calibri" w:cs="Calibri"/>
            <w:color w:val="0000FF"/>
          </w:rPr>
          <w:t>5</w:t>
        </w:r>
      </w:hyperlink>
      <w:r>
        <w:rPr>
          <w:rFonts w:ascii="Calibri" w:hAnsi="Calibri" w:cs="Calibri"/>
        </w:rPr>
        <w:t xml:space="preserve"> настоящего пункта);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общий анализ мочи;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15) исследование кала на скрытую кровь иммунохимическим методом (допускается проведение бензидиновой или гваяковой пробы) (для граждан в возрасте от 48 до 75 лет);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16) ультразвуковое исследование (далее - УЗИ) органов брюшной полости и малого таза на предмет исключения новообразований для граждан в возрасте 39 лет и старше с периодичностью 1 раз в 6 лет (для женщин УЗИ поджелудочной железы, почек, матки и яичников; для мужчин УЗИ поджелудочной железы, почек и предстательной железы), а для мужчин, когда-либо куривших в жизни, также УЗИ брюшной аорты с целью исключения аневризмы однократно в возрасте 69 или 75 лет &lt;1&gt;;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УЗИ органов брюшной полости не проводится, если гражданину в течение предшествующих 2 лет либо в год проведения диспансеризации проводилась магнитно-резонансная или компьютерная томография органов брюшной полости.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17) измерение внутриглазного давления (для граждан в возрасте 39 лет и старше);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18) прием (осмотр) врача-терапевта, включающий установление диагноза, определение группы состояния здоровья, группы диспансерного наблюдения, проведение краткого профилактического консультирования, включая рекомендации по здоровому питанию, уровню физической активности, отказу от курения табака и пагубного потребления алкоголя, определение медицинских показаний для обследований и консультаций в рамках второго этапа диспансеризации.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Первый этап диспансеризации может проводиться мобильными медицинскими бригадами, осуществляющими свою деятельность в соответствии с правилами организации работы мобильных медицинских бригад, предусмотренными </w:t>
      </w:r>
      <w:hyperlink r:id="rId23" w:history="1">
        <w:r>
          <w:rPr>
            <w:rFonts w:ascii="Calibri" w:hAnsi="Calibri" w:cs="Calibri"/>
            <w:color w:val="0000FF"/>
          </w:rPr>
          <w:t>приложением N 8</w:t>
        </w:r>
      </w:hyperlink>
      <w:r>
        <w:rPr>
          <w:rFonts w:ascii="Calibri" w:hAnsi="Calibri" w:cs="Calibri"/>
        </w:rPr>
        <w:t xml:space="preserve"> к Положению об организации оказания первичной медико-санитарной помощи взрослому населению, утвержденному приказом Министерства здравоохранения и социального развития Российской Федерации от 15 мая 2012 г. N 543н (зарегистрирован Министерством юстиции Российской Федерации 27 июня 2012 г., регистрационный N 24726).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Граждане, нуждающиеся по результатам первого этапа диспансеризации в дополнительном обследовании, индивидуальном углубленном профилактическом консультировании или групповом профилактическом консультировании (школа пациента), направляются врачом-терапевтом на второй этап диспансеризации.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8" w:name="Par150"/>
      <w:bookmarkEnd w:id="8"/>
      <w:r>
        <w:rPr>
          <w:rFonts w:ascii="Calibri" w:hAnsi="Calibri" w:cs="Calibri"/>
        </w:rPr>
        <w:t>13.2. Второй этап диспансеризации проводится с целью дополнительного обследования и уточнения диагноза заболевания (состояния), проведения углубленного профилактического консультирования и включает в себя: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дуплексное сканирование брахицефальных артерий (в случае наличия указания или подозрения на ранее перенесенное острое нарушение мозгового кровообращения по результатам анкетирования, а также для мужчин в возрасте от 45 лет и старше и женщин в возрасте старше 55 лет при наличии комбинации трех факторов риска развития хронических неинфекционных заболеваний: повышенный уровень артериального давления, дислипидемия, избыточная масса тела или ожирение);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2) эзофагогастродуоденоскопию (при выявлении по результатам анкетирования жалоб, свидетельствующих о возможном онкологическом заболевании верхних отделов желудочно-кишечного тракта или для граждан в возрасте старше 50 лет при отягощенной наследственности по онкологическим заболеваниям органов желудочно-кишечного тракта);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осмотр (консультацию) врачом-неврологом (в случае указания или подозрения на ранее перенесенное острое нарушение мозгового кровообращения по результатам анкетирования у граждан, не находящихся под диспансерным наблюдением по данному поводу, а также в случаях первичного выявления нарушений двигательной функции, когнитивных нарушений и подозрения на депрессию у граждан в возрасте 75 лет и старше);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4) осмотр (консультацию) врачом-хирургом или врачом-урологом (для мужчин в возрасте от 42 до 69 лет при впервые выявленных по результатам анкетирования признаках патологии мочеполовой системы или при отягощенной наследственности по онкологическим заболеваниям предстательной железы, а также для мужчин вне зависимости от возраста в случае подозрения на онкологическое заболевание предстательной железы по результатам УЗИ);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5) осмотр (консультацию) врачом-хирургом или врачом-колопроктологом (для граждан при положительном анализе кала на скрытую кровь, для граждан в возрасте 45 лет и старше при отягощенной наследственности по семейному полипозу, онкологическим заболеваниям колоректальной области,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онкологических заболеваний колоректальной области);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6) колоноскопию или ректороманоскопию (в случае подозрения на онкологическое заболевание толстой кишки по назначению врача-хирурга или врача-колопроктолога);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7) определение липидного спектра крови (уровень общего холестерина, холестерина липопротеидов высокой плотности, холестерина липопротеидов низкой плотности, триглицеридов) (для граждан с выявленным повышением уровня общего холестерина в крови);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8) спирометрию (для граждан с подозрением на хроническое бронхо-легочное заболевание по результатам анкетирования, курящих и по направлению врача-терапевта);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9) осмотр (консультацию) врачом-акушером-гинекологом (для женщин с выявленными патологическими изменениями по результатам цитологического исследования мазка с шейки матки и (или) маммографии, УЗИ матки и яичников);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10) определение концентрации гликированного гемоглобина в крови или тест на толерантность к глюкозе (для граждан с выявленным повышением уровня глюкозы в крови);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11) осмотр (консультацию) врачом-оториноларингологом (для граждан в возрасте 75 лет и старше при наличии медицинских показаний по результатам анкетирования или осмотра врача-</w:t>
      </w:r>
      <w:r>
        <w:rPr>
          <w:rFonts w:ascii="Calibri" w:hAnsi="Calibri" w:cs="Calibri"/>
        </w:rPr>
        <w:lastRenderedPageBreak/>
        <w:t>терапевта);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12) анализ крови на уровень содержания простатспецифического антигена (по назначению врача-хирурга или врача-уролога мужчинам с подозрением на онкологическое заболевание предстательной железы по результатам опроса, осмотра, пальцевого исследования или УЗИ предстательной железы);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13) осмотр (консультацию) врачом-офтальмологом (для граждан в возрасте 39 лет и старше, имеющих повышенное внутриглазное давление, и для граждан в возрасте 75 лет и старше, имеющих снижение остроты зрения, не поддающееся очковой коррекции, выявленное по результатам анкетирования);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14) индивидуальное углубленное профилактическое консультирование или групповое профилактическое консультирование (школа пациента) в отделении (кабинете) медицинской профилактики (центре здоровья, фельдшерском здравпункте или фельдшерско-акушерском пункте) (для граждан с выявленными факторами риска развития хронических неинфекционных заболеваний, имеющих указанные заболевания или имеющих высокий и очень высокий абсолютный суммарный сердечно-сосудистый риск);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15) прием (осмотр) врача-терапевта, включающий установление (уточнение) диагноза, определение (уточнение) группы состояния здоровья, определение группы диспансерного наблюдения (с учетом заключений врачей-специалистов), а также направление граждан при наличии медицинских показаний на дополнительное обследование, не входящее в объем диспансеризации, для получения специализированной, в том числе высокотехнологичной, медицинской помощи, на санаторно-курортное лечение.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9" w:name="Par166"/>
      <w:bookmarkEnd w:id="9"/>
      <w:r>
        <w:rPr>
          <w:rFonts w:ascii="Calibri" w:hAnsi="Calibri" w:cs="Calibri"/>
        </w:rPr>
        <w:t xml:space="preserve">14. При наличии у гражданина документально подтвержденных результатов осмотров (консультаций) врачами-специалистами (фельдшером или акушеркой) (далее - осмотр), исследований или сведений об иных медицинских мероприятиях, входящих в объем диспансеризации согласно </w:t>
      </w:r>
      <w:hyperlink w:anchor="Par117" w:history="1">
        <w:r>
          <w:rPr>
            <w:rFonts w:ascii="Calibri" w:hAnsi="Calibri" w:cs="Calibri"/>
            <w:color w:val="0000FF"/>
          </w:rPr>
          <w:t>пунктам 13.1</w:t>
        </w:r>
      </w:hyperlink>
      <w:r>
        <w:rPr>
          <w:rFonts w:ascii="Calibri" w:hAnsi="Calibri" w:cs="Calibri"/>
        </w:rPr>
        <w:t xml:space="preserve"> и </w:t>
      </w:r>
      <w:hyperlink w:anchor="Par150" w:history="1">
        <w:r>
          <w:rPr>
            <w:rFonts w:ascii="Calibri" w:hAnsi="Calibri" w:cs="Calibri"/>
            <w:color w:val="0000FF"/>
          </w:rPr>
          <w:t>13.2</w:t>
        </w:r>
      </w:hyperlink>
      <w:r>
        <w:rPr>
          <w:rFonts w:ascii="Calibri" w:hAnsi="Calibri" w:cs="Calibri"/>
        </w:rPr>
        <w:t xml:space="preserve"> настоящего Порядка, которые выполнялись в течение 12 месяцев, предшествующих месяцу проведения диспансеризации, решение о необходимости повторного осмотра, исследования или мероприятия в рамках диспансеризации принимается индивидуально с учетом всех имеющихся результатов обследования и состояния здоровья гражданина.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15. При выявлении у гражданина в процессе диспансеризации медицинских показаний к проведению осмотров врачами-специалистами, исследований и мероприятий, не входящих в объем диспансеризации в соответствии с настоящим Порядком, они назначаются и выполняются с учетом положений </w:t>
      </w:r>
      <w:hyperlink r:id="rId24" w:history="1">
        <w:r>
          <w:rPr>
            <w:rFonts w:ascii="Calibri" w:hAnsi="Calibri" w:cs="Calibri"/>
            <w:color w:val="0000FF"/>
          </w:rPr>
          <w:t>порядков</w:t>
        </w:r>
      </w:hyperlink>
      <w:r>
        <w:rPr>
          <w:rFonts w:ascii="Calibri" w:hAnsi="Calibri" w:cs="Calibri"/>
        </w:rPr>
        <w:t xml:space="preserve"> оказания медицинской помощи по профилю выявленного или предполагаемого заболевания (состояния) и </w:t>
      </w:r>
      <w:hyperlink r:id="rId25" w:history="1">
        <w:r>
          <w:rPr>
            <w:rFonts w:ascii="Calibri" w:hAnsi="Calibri" w:cs="Calibri"/>
            <w:color w:val="0000FF"/>
          </w:rPr>
          <w:t>стандартов</w:t>
        </w:r>
      </w:hyperlink>
      <w:r>
        <w:rPr>
          <w:rFonts w:ascii="Calibri" w:hAnsi="Calibri" w:cs="Calibri"/>
        </w:rPr>
        <w:t xml:space="preserve"> медицинской помощи, утвержденных в соответствии с </w:t>
      </w:r>
      <w:hyperlink r:id="rId26" w:history="1">
        <w:r>
          <w:rPr>
            <w:rFonts w:ascii="Calibri" w:hAnsi="Calibri" w:cs="Calibri"/>
            <w:color w:val="0000FF"/>
          </w:rPr>
          <w:t>частью 2 статьи 37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Федерации", а также клинических рекомендаций (протоколов лечения) по вопросам оказания медицинской помощи, разработанных и утвержденных в соответствии с </w:t>
      </w:r>
      <w:hyperlink r:id="rId27" w:history="1">
        <w:r>
          <w:rPr>
            <w:rFonts w:ascii="Calibri" w:hAnsi="Calibri" w:cs="Calibri"/>
            <w:color w:val="0000FF"/>
          </w:rPr>
          <w:t>частью 2 статьи 76</w:t>
        </w:r>
      </w:hyperlink>
      <w:r>
        <w:rPr>
          <w:rFonts w:ascii="Calibri" w:hAnsi="Calibri" w:cs="Calibri"/>
        </w:rPr>
        <w:t xml:space="preserve"> Федерального закона от 21 ноября 2011 г. N 323-ФЗ "Об основах охраны здоровья граждан в Российской Федерации".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16. На основе сведений о прохождении гражданином диспансеризации медицинским работником отделения (кабинета) медицинской профилактики, а также фельдшером фельдшерского здравпункта или фельдшерско-акушерского пункта по результатам исследований, проведенных в рамках диспансеризации в данном фельдшерском здравпункте или фельдшерско-акушерском пункте, заполняется </w:t>
      </w:r>
      <w:hyperlink r:id="rId28" w:history="1">
        <w:r>
          <w:rPr>
            <w:rFonts w:ascii="Calibri" w:hAnsi="Calibri" w:cs="Calibri"/>
            <w:color w:val="0000FF"/>
          </w:rPr>
          <w:t>карта</w:t>
        </w:r>
      </w:hyperlink>
      <w:r>
        <w:rPr>
          <w:rFonts w:ascii="Calibri" w:hAnsi="Calibri" w:cs="Calibri"/>
        </w:rPr>
        <w:t xml:space="preserve"> учета диспансеризации, которая подшивается в медицинскую карту амбулаторного больного.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Результаты иных исследований и осмотров, не включенных в карту учета диспансеризации, вносятся в </w:t>
      </w:r>
      <w:hyperlink r:id="rId29" w:history="1">
        <w:r>
          <w:rPr>
            <w:rFonts w:ascii="Calibri" w:hAnsi="Calibri" w:cs="Calibri"/>
            <w:color w:val="0000FF"/>
          </w:rPr>
          <w:t>медицинскую карту</w:t>
        </w:r>
      </w:hyperlink>
      <w:r>
        <w:rPr>
          <w:rFonts w:ascii="Calibri" w:hAnsi="Calibri" w:cs="Calibri"/>
        </w:rPr>
        <w:t xml:space="preserve"> амбулаторного больного с пометкой "Диспансеризация".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17. Для определения по результатам диспансеризации группы состояния здоровья гражданина и планирования тактики его медицинского наблюдения используются следующие критерии: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I группа состояния здоровья - граждане, у которых не установлены хронические неинфекционные заболевания, отсутствуют факторы риска развития таких заболеваний или имеются указанные факторы риска при низком или среднем абсолютном суммарном сердечно-сосудистом риске и которые не нуждаются в диспансерном наблюдении по поводу других </w:t>
      </w:r>
      <w:r>
        <w:rPr>
          <w:rFonts w:ascii="Calibri" w:hAnsi="Calibri" w:cs="Calibri"/>
        </w:rPr>
        <w:lastRenderedPageBreak/>
        <w:t>заболеваний (состояний). Таким гражданам в рамках диспансеризации проводится краткое профилактическое консультирование;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II группа состояния здоровья - граждане, у которых не установлены хронические неинфекционные заболевания, но имеются факторы риска развития таких заболеваний при высоком или очень высоком абсолютном суммарном сердечно-сосудистом риске, и которые не нуждаются в диспансерном наблюдении по поводу других заболеваний (состояний).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Таким гражданам в рамках диспансеризации проводится коррекция факторов риска развития хронических неинфекционных заболеваний (углубленное индивидуальное профилактическое консультирование и (или) групповое профилактическое консультирование) в отделении (кабинете) медицинской профилактики, центре здоровья, фельдшерском здравпункте или фельдшерско-акушерском пункте, при наличии медицинских показаний врачом-терапевтом назначаются лекарственные препараты для медицинского применения в целях фармакологической коррекции указанных факторов риска. Эти граждане подлежат диспансерному наблюдению врачом (фельдшером) отделения (кабинета) медицинской профилактики, а также фельдшером фельдшерского здравпункта или фельдшерско-акушерского пункта &lt;1&gt;;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Для фельдшерских здравпунктов и фельдшерско-акушерских пунктов, расположенных в удаленной или труднодоступной местности.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IIIа группа состояния здоровья - граждане, имеющие хронические неинфекционные заболевания,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 &lt;1&gt;;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По результатам дополнительного обследования группа состояния здоровья гражданина может быть изменена. При наличии у пациента и хронических неинфекционных заболеваний, и других заболеваний (состояний), требующих диспансерного наблюдения, его включают в IIIа группу состояния здоровья.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IIIб группа состояния здоровья - граждане, не имеющие хронические неинфекционные заболевания, но требующие установления диспансерного наблюдения или оказания специализированной, в том числе высокотехнологичной, медицинской помощи по поводу иных заболеваний, а также граждане с подозрением на наличие этих заболеваний, нуждающиеся в дополнительном обследовании.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Граждане с IIIа и IIIб группами состояния здоровья подлежат диспансерному наблюдению врачом-терапевтом, врачами-специалистами с проведением лечебных, реабилитационных и профилактических мероприятий. Гражданам с IIIа группой состояния здоровья, имеющим факторы риска развития хронических неинфекционных заболеваний, и гражданам с IIIб группой состояния здоровья, имеющим высокий и очень высокий суммарный (абсолютный или относительный) сердечно-сосудистый риск, проводится коррекция имеющихся факторов риска (углубленное индивидуальное профилактическое консультирование и (или) групповое профилактическое консультирование) в рамках диспансеризации в отделении (кабинете) медицинской профилактики, центре здоровья, фельдшерском здравпункте или фельдшерско-акушерском пункте &lt;1&gt;.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&lt;1&gt; Для фельдшерских здравпунктов и фельдшерско-акушерских пунктов, расположенных в удаленной или труднодоступной местности.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18. Основными критериями эффективности диспансеризации взрослого населения являются: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1) охват диспансеризацией населения, находящегося на медицинском обслуживании в медицинской организации и подлежащего диспансеризации в текущем году (плановое значение - не менее 23% ежегодно);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2) охват индивидуальным углубленным профилактическим консультированием граждан со II и IIIа группой состояния здоровья, а также граждан с IIIб группой состояния здоровья, имеющих </w:t>
      </w:r>
      <w:r>
        <w:rPr>
          <w:rFonts w:ascii="Calibri" w:hAnsi="Calibri" w:cs="Calibri"/>
        </w:rPr>
        <w:lastRenderedPageBreak/>
        <w:t>высокий и очень высокий суммарный (абсолютный или относительный) сердечно-сосудистый риск (плановое значение - не менее 60% от имеющих медицинские показания для проведения индивидуального углубленного профилактического консультирования);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3) охват групповым профилактическим консультированием (школа пациента) граждан с II и IIIа группами состояния здоровья, а также граждан с IIIб группой состояния здоровья, имеющих высокий и очень высокий суммарный (абсолютный или относительный) сердечно-сосудистый риск (плановое значение - не менее 60% от имеющих медицинские показания для проведения группового профилактического консультирования).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19. В медицинской организации ведется учет граждан, прошедших каждый этап диспансеризации, с регистрацией осмотров, исследований и иных медицинских мероприятий, выполненных в рамках проведения диспансеризации, и осмотров, исследований, мероприятий, выполненных ранее вне рамок диспансеризации и учитываемых при диспансеризации в соответствии с </w:t>
      </w:r>
      <w:hyperlink w:anchor="Par166" w:history="1">
        <w:r>
          <w:rPr>
            <w:rFonts w:ascii="Calibri" w:hAnsi="Calibri" w:cs="Calibri"/>
            <w:color w:val="0000FF"/>
          </w:rPr>
          <w:t>пунктом 14</w:t>
        </w:r>
      </w:hyperlink>
      <w:r>
        <w:rPr>
          <w:rFonts w:ascii="Calibri" w:hAnsi="Calibri" w:cs="Calibri"/>
        </w:rPr>
        <w:t xml:space="preserve"> настоящего Порядка, а также отказов граждан от прохождения отдельных осмотров, исследований и мероприятий.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20. Первый этап диспансеризации считается завершенным и подлежит оплате в рамках территориальной программы государственных гарантий бесплатного оказание гражданам медицинской помощи (далее - территориальная программа) в случае выполнения не менее 85% от объема диспансеризации, установленного для данного возраста и пола гражданина, при этом обязательным является проведение анкетирования и приема (осмотра) врача-терапевта.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 случае если число осмотров, исследований и иных медицинских мероприятий, выполненных ранее и учитываемых при диспансеризации в соответствии с </w:t>
      </w:r>
      <w:hyperlink w:anchor="Par166" w:history="1">
        <w:r>
          <w:rPr>
            <w:rFonts w:ascii="Calibri" w:hAnsi="Calibri" w:cs="Calibri"/>
            <w:color w:val="0000FF"/>
          </w:rPr>
          <w:t>пунктом 14</w:t>
        </w:r>
      </w:hyperlink>
      <w:r>
        <w:rPr>
          <w:rFonts w:ascii="Calibri" w:hAnsi="Calibri" w:cs="Calibri"/>
        </w:rPr>
        <w:t xml:space="preserve"> настоящего Порядка, превышает 15% от объема диспансеризации, установленного для соответствующего возраста и пола гражданина, а общий объем выполненных в рамках диспансеризации и учтенных в соответствии с </w:t>
      </w:r>
      <w:hyperlink w:anchor="Par166" w:history="1">
        <w:r>
          <w:rPr>
            <w:rFonts w:ascii="Calibri" w:hAnsi="Calibri" w:cs="Calibri"/>
            <w:color w:val="0000FF"/>
          </w:rPr>
          <w:t>пунктом 14</w:t>
        </w:r>
      </w:hyperlink>
      <w:r>
        <w:rPr>
          <w:rFonts w:ascii="Calibri" w:hAnsi="Calibri" w:cs="Calibri"/>
        </w:rPr>
        <w:t xml:space="preserve"> настоящего Порядка осмотров, исследований и иных медицинских мероприятий составляет 85% и более от объема диспансеризации, первый этап диспансеризации отражается в отчете о проведении диспансеризации как завершенный случай, при этом оплате подлежат только выполненные осмотры (исследования, мероприятия) в соответствии со способами оплаты медицинской помощи, установленными территориальной программой.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В случае выполнения в рамках первого этапа диспансеризации менее 85% от объема диспансеризации, установленного для данного возраста и пола гражданина, но при этом выполненные осмотры, исследования и иные медицинские мероприятия составляют 85% и более от объема обследования, установленного для профилактического медицинского осмотра &lt;1&gt;, такие случаи учитываются как проведенный гражданину профилактический медицинский осмотр.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В соответствии с </w:t>
      </w:r>
      <w:hyperlink r:id="rId30" w:history="1">
        <w:r>
          <w:rPr>
            <w:rFonts w:ascii="Calibri" w:hAnsi="Calibri" w:cs="Calibri"/>
            <w:color w:val="0000FF"/>
          </w:rPr>
          <w:t>приказом</w:t>
        </w:r>
      </w:hyperlink>
      <w:r>
        <w:rPr>
          <w:rFonts w:ascii="Calibri" w:hAnsi="Calibri" w:cs="Calibri"/>
        </w:rPr>
        <w:t xml:space="preserve"> Министерства здравоохранения Российской Федерации от 6 декабря 2012 г. N 1011н "Об утверждении Порядка проведения профилактического медицинского осмотра" (зарегистрирован Министерством юстиции Российской Федерации 29 декабря 2012 г., регистрационный N 26511).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Второй этап диспансеризации считается законченным в случае выполнения осмотров, исследований и иных медицинских мероприятий, указанных в </w:t>
      </w:r>
      <w:hyperlink w:anchor="Par150" w:history="1">
        <w:r>
          <w:rPr>
            <w:rFonts w:ascii="Calibri" w:hAnsi="Calibri" w:cs="Calibri"/>
            <w:color w:val="0000FF"/>
          </w:rPr>
          <w:t>пункте 13.2</w:t>
        </w:r>
      </w:hyperlink>
      <w:r>
        <w:rPr>
          <w:rFonts w:ascii="Calibri" w:hAnsi="Calibri" w:cs="Calibri"/>
        </w:rPr>
        <w:t xml:space="preserve"> настоящего Порядка, необходимость проведения которых определена по результатам первого и второго этапов диспансеризации.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0" w:name="Par203"/>
      <w:bookmarkEnd w:id="10"/>
      <w:r>
        <w:rPr>
          <w:rFonts w:ascii="Calibri" w:hAnsi="Calibri" w:cs="Calibri"/>
        </w:rPr>
        <w:t>Приложение N 1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проведения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диспансеризации определенных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групп взрослого населения,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утвержденному приказом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Российской Федерации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 февраля 2015 г. N 36ан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1" w:name="Par212"/>
      <w:bookmarkEnd w:id="11"/>
      <w:r>
        <w:rPr>
          <w:rFonts w:ascii="Calibri" w:hAnsi="Calibri" w:cs="Calibri"/>
        </w:rPr>
        <w:t>ОБЪЕМ ДИСПАНСЕРИЗАЦИИ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Calibri" w:hAnsi="Calibri" w:cs="Calibri"/>
        </w:rPr>
      </w:pPr>
      <w:bookmarkStart w:id="12" w:name="Par214"/>
      <w:bookmarkEnd w:id="12"/>
      <w:r>
        <w:rPr>
          <w:rFonts w:ascii="Calibri" w:hAnsi="Calibri" w:cs="Calibri"/>
        </w:rPr>
        <w:t>Перечень осмотров врачами-специалистами,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исследований и иных медицинских мероприятий, проводимых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в рамках диспансеризации в определенные возрастные периоды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  <w:sectPr w:rsidR="006E0F0D" w:rsidSect="00262C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822"/>
        <w:gridCol w:w="618"/>
        <w:gridCol w:w="1510"/>
        <w:gridCol w:w="368"/>
        <w:gridCol w:w="368"/>
        <w:gridCol w:w="368"/>
        <w:gridCol w:w="368"/>
        <w:gridCol w:w="368"/>
        <w:gridCol w:w="369"/>
        <w:gridCol w:w="368"/>
        <w:gridCol w:w="368"/>
        <w:gridCol w:w="368"/>
        <w:gridCol w:w="368"/>
        <w:gridCol w:w="369"/>
        <w:gridCol w:w="368"/>
        <w:gridCol w:w="368"/>
        <w:gridCol w:w="368"/>
        <w:gridCol w:w="368"/>
        <w:gridCol w:w="36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09"/>
        <w:gridCol w:w="510"/>
      </w:tblGrid>
      <w:tr w:rsidR="006E0F0D">
        <w:tc>
          <w:tcPr>
            <w:tcW w:w="39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Осмотр, исследование, иное медицинское мероприятие</w:t>
            </w:r>
          </w:p>
        </w:tc>
        <w:tc>
          <w:tcPr>
            <w:tcW w:w="11491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Возраст (лет)</w:t>
            </w:r>
          </w:p>
        </w:tc>
      </w:tr>
      <w:tr w:rsidR="006E0F0D">
        <w:tc>
          <w:tcPr>
            <w:tcW w:w="39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66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</w:tr>
      <w:tr w:rsidR="006E0F0D">
        <w:tc>
          <w:tcPr>
            <w:tcW w:w="1544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alibri" w:hAnsi="Calibri" w:cs="Calibri"/>
              </w:rPr>
            </w:pPr>
            <w:bookmarkStart w:id="13" w:name="Par247"/>
            <w:bookmarkEnd w:id="13"/>
            <w:r>
              <w:rPr>
                <w:rFonts w:ascii="Calibri" w:hAnsi="Calibri" w:cs="Calibri"/>
              </w:rPr>
              <w:t>Первый этап диспансеризации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 Опрос (анкетирование) на выявление хронических неинфекционных заболеваний, факторов риска их развития, потребления наркотических средств и психотропных веществ без назначения врача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 Антропометрия (измерение роста стоя, массы тела, окружности талии), расчет индекса массы тела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 Измерение артериального давления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 Определение уровня общего холестерина в крови (допускается экспресс-метод)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5. Определение уровня глюкозы в крови экспресс-методом (допускается лабораторный метод)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E0F0D"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6. Определение</w:t>
            </w: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относительного суммарного сердечно-сосудистого риска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E0F0D"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абсолютного суммарного </w:t>
            </w:r>
            <w:r>
              <w:rPr>
                <w:rFonts w:ascii="Calibri" w:hAnsi="Calibri" w:cs="Calibri"/>
              </w:rPr>
              <w:lastRenderedPageBreak/>
              <w:t>сердечно-сосудистого риска у граждан, не имеющих заболеваний, связанных с атеросклерозом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E0F0D">
        <w:tc>
          <w:tcPr>
            <w:tcW w:w="24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7. Электрокардиография (в покое) </w:t>
            </w:r>
            <w:hyperlink w:anchor="Par1263" w:history="1">
              <w:r>
                <w:rPr>
                  <w:rFonts w:ascii="Calibri" w:hAnsi="Calibri" w:cs="Calibri"/>
                  <w:color w:val="0000FF"/>
                </w:rPr>
                <w:t>&lt;1&gt;</w:t>
              </w:r>
            </w:hyperlink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мужчин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24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женщин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Осмотр фельдшером (акушеркой), включая взятие мазка (соскоба) с поверхности шейки матки (наружного маточного зева) и цервикального канала на цитологическое исследование (для женщин)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Флюорография легких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 Маммография обеих молочных желез (для женщин)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 Клинический анализ крови (в объеме не менее определения концентрации гемоглобина в эритроцитах, количества лейкоцитов и скорости оседания эритроцитов)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 Клинический анализ крови развернутый (с периодичностью 1 раз в 6 лет вместо клинического анализа крови)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13. Анализ крови биохимический общетерапевтический (в объеме не менее определения уровня креатинина, общего билирубина, аспартат-аминотрансаминазы, аланин-аминотрансаминазы, глюкозы, холестерина)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14. Общий анализ мочи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15. Исследование кала на скрытую кровь иммунохимическим методом (допускается проведение бензидиновой или гваяковой пробы)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E0F0D"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16. Ультразвуковое исследование (УЗИ) на предмет исключения новообразований органов брюшной полости, малого таза и аневризмы брюшной аорты </w:t>
            </w:r>
            <w:hyperlink w:anchor="Par1264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Для женщин УЗИ поджелудочной железы, почек, матки и яичников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Для мужчин УЗИ поджелудочной железы, почек, простаты и брюшной аорты </w:t>
            </w:r>
            <w:hyperlink w:anchor="Par1264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+ </w:t>
            </w:r>
            <w:hyperlink w:anchor="Par1264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+ </w:t>
            </w:r>
            <w:hyperlink w:anchor="Par1264" w:history="1">
              <w:r>
                <w:rPr>
                  <w:rFonts w:ascii="Calibri" w:hAnsi="Calibri" w:cs="Calibri"/>
                  <w:color w:val="0000FF"/>
                </w:rPr>
                <w:t>&lt;2&gt;</w:t>
              </w:r>
            </w:hyperlink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17. Измерение внутриглазного давления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18. Прием (осмотр) врача-терапевта, включающий установление диагноза, определение группы состояния здоровья, группы диспансерного </w:t>
            </w:r>
            <w:r>
              <w:rPr>
                <w:rFonts w:ascii="Calibri" w:hAnsi="Calibri" w:cs="Calibri"/>
              </w:rPr>
              <w:lastRenderedPageBreak/>
              <w:t>наблюдения, проведение краткого профилактического консультирования, включая рекомендации по здоровому питанию, уровню физической активности, отказу от курения табака и пагубного потребления алкоголя, определение медицинских показаний для обследований и консультаций в рамках второго этапа диспансеризации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15441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Calibri" w:hAnsi="Calibri" w:cs="Calibri"/>
              </w:rPr>
            </w:pPr>
            <w:bookmarkStart w:id="14" w:name="Par839"/>
            <w:bookmarkEnd w:id="14"/>
            <w:r>
              <w:rPr>
                <w:rFonts w:ascii="Calibri" w:hAnsi="Calibri" w:cs="Calibri"/>
              </w:rPr>
              <w:lastRenderedPageBreak/>
              <w:t>Второй этап диспансеризации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 Дуплексное сканирование брахицефальных артерий (в случае наличия указания или подозрения на ранее перенесенное острое нарушение мозгового кровообращения по результатам анкетирования, а также для мужчин в возрасте 45 лет и старше и женщин в возрасте старше 55 лет при наличии комбинации трех факторов риска развития хронических неинфекционных заболеваний: повышенный уровень артериального давления, дислипидемия, избыточная масса тела или ожирение)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2. Эзофагогастродуоденоскопия (при выявлении по результатам анкетирования жалоб, свидетельствующих о возможном онкологическом заболевании верхних отделов желудочно-кишечного тракта или для граждан в возрасте старше 50 </w:t>
            </w:r>
            <w:r>
              <w:rPr>
                <w:rFonts w:ascii="Calibri" w:hAnsi="Calibri" w:cs="Calibri"/>
              </w:rPr>
              <w:lastRenderedPageBreak/>
              <w:t>лет при отягощенной наследственности по онкологическим заболеваниям органов желудочно-кишечного тракта)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3. Осмотр (консультация) врачом-неврологом (в случае указания или подозрения на ранее перенесенное острое нарушение мозгового кровообращения по результатам анкетирования у граждан, не находящихся под диспансерным наблюдением по данному поводу, а также в случаях первичного выявления нарушений</w:t>
            </w:r>
          </w:p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двигательной функции, когнитивных нарушений и подозрения на депрессию у граждан в возрасте 75 лет и старше)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 Осмотр (консультация) врачом-хирургом или врачом-урологом (для мужчин при впервые выявленных по результатам анкетирования признаках патологии мочеполовой системы или при отягощенной наследственности по онкологическим заболеваниям предстательной железы, а также для мужчин вне зависимости от возраста в случае подозрения на онкологическое заболевание предстательной железы по результатам ультразвукового исследования)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5. Осмотр (консультация) врачом-хирургом или врачом-колопроктологом </w:t>
            </w:r>
            <w:r>
              <w:rPr>
                <w:rFonts w:ascii="Calibri" w:hAnsi="Calibri" w:cs="Calibri"/>
              </w:rPr>
              <w:lastRenderedPageBreak/>
              <w:t>(для граждан при положительном анализе кала на скрытую кровь, для граждан в возрасте 45 лет и старше при отягощенной наследственности по семейному полипозу, онкологическим заболеваниям колоректальной области, при выявлении других медицинских показаний по результатам анкетирования, а также по назначению врача-терапевта, врача-уролога, врача-акушера-гинеколога в случаях выявления симптомов онкологических заболеваний колоректальной области)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6. Колоноскопия или ректороманоскопия (в случае подозрения на онкологическое заболевание толстой кишки по назначению врача-хирурга или врача-колопроктолога)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7. Определение липидного спектра крови (уровень общего холестерина, холестерина липопротеидов высокой плотности, холестерина липопротеидов низкой плотности, триглицеридов) (для граждан с выявленным повышением уровня общего холестерина в крови)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Спирометрия (для граждан с подозрением на хроническое бронхо-легочное заболевание по результатам анкетирования, курящих и по направлению врача-терапевта)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9. Осмотр (консультация) врачом-акушером-гинекологом (для женщин с выявленными патологическими изменениями по результатам цитологического исследования мазка с шейки матки и (или) маммографии, УЗИ матки и яичников)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10. Определение концентрации гликированного гемоглобина в крови или тест на толерантность к глюкозе (для граждан с выявленным повышением уровня глюкозы в крови)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11. Осмотр (консультация) врачом-оториноларингологом (при наличии медицинских показаний по результатам анкетирования или осмотра врача-терапевта)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12. Анализ крови на уровень содержания простатспецифического антигена (по назначению врача-хирурга или врача-уролога мужчинам с подозрением на онкологическое заболевание предстательной железы по результатам опроса, осмотра, пальцевого исследования или УЗИ предстательной железы)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13. Осмотр (консультация) врачом-офтальмологом (для граждан в возрасте 39 лет и старше, имеющих повышенное внутриглазное давление, и для граждан </w:t>
            </w:r>
            <w:r>
              <w:rPr>
                <w:rFonts w:ascii="Calibri" w:hAnsi="Calibri" w:cs="Calibri"/>
              </w:rPr>
              <w:lastRenderedPageBreak/>
              <w:t>в возрасте 75 лет и старше, имеющих снижение остроты зрения, не поддающееся очковой коррекции, выявленное по результатам анкетирования)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14. Индивидуальное углубленное профилактическое консультирование или групповое профилактическое консультирование (школа пациента) в отделении (кабинете) медицинской профилактики (центре здоровья, фельдшерском здравпункте или фельдшерско-акушерском пункте) (для граждан с выявленными факторами риска развития хронических неинфекционных заболеваний, имеющих указанные заболевания или имеющих высокий и очень высокий абсолютный суммарный сердечно-сосудистый риск)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  <w:tr w:rsidR="006E0F0D">
        <w:tc>
          <w:tcPr>
            <w:tcW w:w="39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15. Прием (осмотр) врача-терапевта, включающий установление (уточнение) диагноза, определение (уточнение) группы состояния здоровья, группы диспансерного наблюдения (с учетом заключений врачей-специалистов), а также направление граждан при наличии медицинских показаний на дополнительное обследование, не входящее в объем диспансеризации, для получения специализированной, в том числе высокотехнологичной, </w:t>
            </w:r>
            <w:r>
              <w:rPr>
                <w:rFonts w:ascii="Calibri" w:hAnsi="Calibri" w:cs="Calibri"/>
              </w:rPr>
              <w:lastRenderedPageBreak/>
              <w:t>медицинской помощи, на санаторно-курортное лечение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6E0F0D" w:rsidRDefault="006E0F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+</w:t>
            </w:r>
          </w:p>
        </w:tc>
      </w:tr>
    </w:tbl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  <w:sectPr w:rsidR="006E0F0D">
          <w:pgSz w:w="16838" w:h="11905" w:orient="landscape"/>
          <w:pgMar w:top="1701" w:right="1134" w:bottom="850" w:left="1134" w:header="720" w:footer="720" w:gutter="0"/>
          <w:cols w:space="720"/>
          <w:noEndnote/>
        </w:sect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5" w:name="Par1263"/>
      <w:bookmarkEnd w:id="15"/>
      <w:r>
        <w:rPr>
          <w:rFonts w:ascii="Calibri" w:hAnsi="Calibri" w:cs="Calibri"/>
        </w:rPr>
        <w:t>&lt;1&gt; Для мужчин в возрасте до 35 лет и для женщин в возрасте до 45 лет при первичном прохождении диспансеризации.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16" w:name="Par1264"/>
      <w:bookmarkEnd w:id="16"/>
      <w:r>
        <w:rPr>
          <w:rFonts w:ascii="Calibri" w:hAnsi="Calibri" w:cs="Calibri"/>
        </w:rPr>
        <w:t>&lt;2&gt; УЗИ брюшной аорты для исключения ее аневризмы проводится однократно у мужчин в возрасте 69 или 75 лет, которые когда-либо курили в жизни.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Calibri" w:hAnsi="Calibri" w:cs="Calibri"/>
        </w:rPr>
      </w:pPr>
      <w:bookmarkStart w:id="17" w:name="Par1270"/>
      <w:bookmarkEnd w:id="17"/>
      <w:r>
        <w:rPr>
          <w:rFonts w:ascii="Calibri" w:hAnsi="Calibri" w:cs="Calibri"/>
        </w:rPr>
        <w:t>Приложение N 2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порядку проведения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диспансеризации определенных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групп взрослого населения,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утвержденному приказом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Министерства здравоохранения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 февраля 2015 г. N 36ан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bookmarkStart w:id="18" w:name="Par1279"/>
      <w:bookmarkEnd w:id="18"/>
      <w:r>
        <w:rPr>
          <w:rFonts w:ascii="Calibri" w:hAnsi="Calibri" w:cs="Calibri"/>
        </w:rPr>
        <w:t>ДИАГНОСТИЧЕСКИЕ КРИТЕРИИ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ФАКТОРОВ РИСКА И ДРУГИХ ПАТОЛОГИЧЕСКИХ СОСТОЯНИЙ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И ЗАБОЛЕВАНИЙ, ПОВЫШАЮЩИХ ВЕРОЯТНОСТЬ РАЗВИТИЯ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ХРОНИЧЕСКИХ НЕИНФЕКЦИОННЫХ ЗАБОЛЕВАНИЙ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Повышенный уровень артериального давления - систолическое артериальное давление равно или выше 140 мм рт. ст., диастолическое артериальное давление равно или выше 90 мм рт. ст. либо проведение гипотензивной терапии. К числу граждан, имеющих данный фактор риска, относятся граждане, имеющие гипертоническую болезнь или симптоматические артериальные гипертензии (кодируется по МКБ-10 &lt;1&gt; кодами </w:t>
      </w:r>
      <w:hyperlink r:id="rId31" w:history="1">
        <w:r>
          <w:rPr>
            <w:rFonts w:ascii="Calibri" w:hAnsi="Calibri" w:cs="Calibri"/>
            <w:color w:val="0000FF"/>
          </w:rPr>
          <w:t>I10</w:t>
        </w:r>
      </w:hyperlink>
      <w:r>
        <w:rPr>
          <w:rFonts w:ascii="Calibri" w:hAnsi="Calibri" w:cs="Calibri"/>
        </w:rPr>
        <w:t xml:space="preserve"> - </w:t>
      </w:r>
      <w:hyperlink r:id="rId32" w:history="1">
        <w:r>
          <w:rPr>
            <w:rFonts w:ascii="Calibri" w:hAnsi="Calibri" w:cs="Calibri"/>
            <w:color w:val="0000FF"/>
          </w:rPr>
          <w:t>I15</w:t>
        </w:r>
      </w:hyperlink>
      <w:r>
        <w:rPr>
          <w:rFonts w:ascii="Calibri" w:hAnsi="Calibri" w:cs="Calibri"/>
        </w:rPr>
        <w:t xml:space="preserve">), а также граждане с повышенным артериальным давлением при отсутствии диагноза гипертонической болезни или симптоматической артериальной гипертензии (кодируется по МКБ-10 кодом </w:t>
      </w:r>
      <w:hyperlink r:id="rId33" w:history="1">
        <w:r>
          <w:rPr>
            <w:rFonts w:ascii="Calibri" w:hAnsi="Calibri" w:cs="Calibri"/>
            <w:color w:val="0000FF"/>
          </w:rPr>
          <w:t>R03.0</w:t>
        </w:r>
      </w:hyperlink>
      <w:r>
        <w:rPr>
          <w:rFonts w:ascii="Calibri" w:hAnsi="Calibri" w:cs="Calibri"/>
        </w:rPr>
        <w:t>)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&lt;1&gt; Международная статистическая </w:t>
      </w:r>
      <w:hyperlink r:id="rId34" w:history="1">
        <w:r>
          <w:rPr>
            <w:rFonts w:ascii="Calibri" w:hAnsi="Calibri" w:cs="Calibri"/>
            <w:color w:val="0000FF"/>
          </w:rPr>
          <w:t>классификация</w:t>
        </w:r>
      </w:hyperlink>
      <w:r>
        <w:rPr>
          <w:rFonts w:ascii="Calibri" w:hAnsi="Calibri" w:cs="Calibri"/>
        </w:rPr>
        <w:t xml:space="preserve"> болезней и проблем, связанных со здоровьем, 10 пересмотра.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Дислипидемия - отклонение от нормы одного или более показателей липидного обмена (общий холестерин 5 ммоль/л и более; холестерин липопротеидов высокой плотности у мужчин менее 1,0 ммоль/л, у женщин менее 1,2 ммоль/л; холестерин липопротеидов низкой плотности более 3 ммоль/л; триглицериды более 1,7 ммоль/л) (кодируется по МКБ-10 кодом </w:t>
      </w:r>
      <w:hyperlink r:id="rId35" w:history="1">
        <w:r>
          <w:rPr>
            <w:rFonts w:ascii="Calibri" w:hAnsi="Calibri" w:cs="Calibri"/>
            <w:color w:val="0000FF"/>
          </w:rPr>
          <w:t>E78</w:t>
        </w:r>
      </w:hyperlink>
      <w:r>
        <w:rPr>
          <w:rFonts w:ascii="Calibri" w:hAnsi="Calibri" w:cs="Calibri"/>
        </w:rPr>
        <w:t>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Гипергликемия - уровень глюкозы плазмы натощак 6,1 ммоль/л и более (кодируется по МКБ-10 кодом </w:t>
      </w:r>
      <w:hyperlink r:id="rId36" w:history="1">
        <w:r>
          <w:rPr>
            <w:rFonts w:ascii="Calibri" w:hAnsi="Calibri" w:cs="Calibri"/>
            <w:color w:val="0000FF"/>
          </w:rPr>
          <w:t>R73.9</w:t>
        </w:r>
      </w:hyperlink>
      <w:r>
        <w:rPr>
          <w:rFonts w:ascii="Calibri" w:hAnsi="Calibri" w:cs="Calibri"/>
        </w:rPr>
        <w:t>) либо наличие сахарного диабета, в том числе в случае, если в результате эффективной терапии достигнута нормогликемия.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Курение табака - ежедневное выкуривание по крайней мере одной сигареты и более (кодируется по МКБ-10 кодом </w:t>
      </w:r>
      <w:hyperlink r:id="rId37" w:history="1">
        <w:r>
          <w:rPr>
            <w:rFonts w:ascii="Calibri" w:hAnsi="Calibri" w:cs="Calibri"/>
            <w:color w:val="0000FF"/>
          </w:rPr>
          <w:t>Z72.0</w:t>
        </w:r>
      </w:hyperlink>
      <w:r>
        <w:rPr>
          <w:rFonts w:ascii="Calibri" w:hAnsi="Calibri" w:cs="Calibri"/>
        </w:rPr>
        <w:t>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Нерациональное питание - избыточное потребление пищи, жиров, углеводов, потребление поваренной соли более 5 граммов в сутки (досаливание приготовленной пищи, частое употребление соленостей, консервов, колбасных изделий), недостаточное потребление фруктов и овощей (менее 400 граммов или менее 4 - 6 порций в сутки). Определяется с помощью опроса (анкетирования), предусмотренного настоящим Порядком (кодируется по МКБ-10 кодом </w:t>
      </w:r>
      <w:hyperlink r:id="rId38" w:history="1">
        <w:r>
          <w:rPr>
            <w:rFonts w:ascii="Calibri" w:hAnsi="Calibri" w:cs="Calibri"/>
            <w:color w:val="0000FF"/>
          </w:rPr>
          <w:t>Z72.4</w:t>
        </w:r>
      </w:hyperlink>
      <w:r>
        <w:rPr>
          <w:rFonts w:ascii="Calibri" w:hAnsi="Calibri" w:cs="Calibri"/>
        </w:rPr>
        <w:t>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Избыточная масса тела - индекс массы тела 25 - 29,9 кг/м2 и более (кодируется по МКБ-10 кодом </w:t>
      </w:r>
      <w:hyperlink r:id="rId39" w:history="1">
        <w:r>
          <w:rPr>
            <w:rFonts w:ascii="Calibri" w:hAnsi="Calibri" w:cs="Calibri"/>
            <w:color w:val="0000FF"/>
          </w:rPr>
          <w:t>R63.5</w:t>
        </w:r>
      </w:hyperlink>
      <w:r>
        <w:rPr>
          <w:rFonts w:ascii="Calibri" w:hAnsi="Calibri" w:cs="Calibri"/>
        </w:rPr>
        <w:t>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Ожирение - индекс массы тела 30 кг/м2 и более (кодируется по МКБ-10 </w:t>
      </w:r>
      <w:hyperlink r:id="rId40" w:history="1">
        <w:r>
          <w:rPr>
            <w:rFonts w:ascii="Calibri" w:hAnsi="Calibri" w:cs="Calibri"/>
            <w:color w:val="0000FF"/>
          </w:rPr>
          <w:t>кодом E66</w:t>
        </w:r>
      </w:hyperlink>
      <w:r>
        <w:rPr>
          <w:rFonts w:ascii="Calibri" w:hAnsi="Calibri" w:cs="Calibri"/>
        </w:rPr>
        <w:t>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Низкая физическая активность - ходьба в умеренном или быстром темпе менее 30 минут в </w:t>
      </w:r>
      <w:r>
        <w:rPr>
          <w:rFonts w:ascii="Calibri" w:hAnsi="Calibri" w:cs="Calibri"/>
        </w:rPr>
        <w:lastRenderedPageBreak/>
        <w:t xml:space="preserve">день (кодируется по МКБ-10 кодом </w:t>
      </w:r>
      <w:hyperlink r:id="rId41" w:history="1">
        <w:r>
          <w:rPr>
            <w:rFonts w:ascii="Calibri" w:hAnsi="Calibri" w:cs="Calibri"/>
            <w:color w:val="0000FF"/>
          </w:rPr>
          <w:t>Z72.3)</w:t>
        </w:r>
      </w:hyperlink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Риск пагубного потребления алкоголя (кодируется по МКБ-10 кодом </w:t>
      </w:r>
      <w:hyperlink r:id="rId42" w:history="1">
        <w:r>
          <w:rPr>
            <w:rFonts w:ascii="Calibri" w:hAnsi="Calibri" w:cs="Calibri"/>
            <w:color w:val="0000FF"/>
          </w:rPr>
          <w:t>Z72.1</w:t>
        </w:r>
      </w:hyperlink>
      <w:r>
        <w:rPr>
          <w:rFonts w:ascii="Calibri" w:hAnsi="Calibri" w:cs="Calibri"/>
        </w:rPr>
        <w:t xml:space="preserve">) и риск потребления наркотических средств и психотропных веществ без назначения врача (кодируется по МКБ-10 кодом </w:t>
      </w:r>
      <w:hyperlink r:id="rId43" w:history="1">
        <w:r>
          <w:rPr>
            <w:rFonts w:ascii="Calibri" w:hAnsi="Calibri" w:cs="Calibri"/>
            <w:color w:val="0000FF"/>
          </w:rPr>
          <w:t>Z72.2</w:t>
        </w:r>
      </w:hyperlink>
      <w:r>
        <w:rPr>
          <w:rFonts w:ascii="Calibri" w:hAnsi="Calibri" w:cs="Calibri"/>
        </w:rPr>
        <w:t>) определяются с помощью опроса (анкетирования), предусмотренного настоящим Порядком.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Отягощенная наследственность по сердечно-сосудистым заболеваниям определяется при наличии инфаркта миокарда (кодируется по МКБ-10 кодом </w:t>
      </w:r>
      <w:hyperlink r:id="rId44" w:history="1">
        <w:r>
          <w:rPr>
            <w:rFonts w:ascii="Calibri" w:hAnsi="Calibri" w:cs="Calibri"/>
            <w:color w:val="0000FF"/>
          </w:rPr>
          <w:t>Z82.4</w:t>
        </w:r>
      </w:hyperlink>
      <w:r>
        <w:rPr>
          <w:rFonts w:ascii="Calibri" w:hAnsi="Calibri" w:cs="Calibri"/>
        </w:rPr>
        <w:t xml:space="preserve">) и (или) мозгового инсульта (кодируется по МКБ-10 кодом </w:t>
      </w:r>
      <w:hyperlink r:id="rId45" w:history="1">
        <w:r>
          <w:rPr>
            <w:rFonts w:ascii="Calibri" w:hAnsi="Calibri" w:cs="Calibri"/>
            <w:color w:val="0000FF"/>
          </w:rPr>
          <w:t>Z82.3</w:t>
        </w:r>
      </w:hyperlink>
      <w:r>
        <w:rPr>
          <w:rFonts w:ascii="Calibri" w:hAnsi="Calibri" w:cs="Calibri"/>
        </w:rPr>
        <w:t>) у близких родственников (матери или родных сестер в возрасте до 65 лет или у отца, родных братьев в возрасте до 55 лет).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Отягощенная наследственность по злокачественным новообразованиям - наличие у близких родственников в молодом или среднем возрасте или в нескольких поколениях злокачественные новообразования (кодируется по МКБ-10 кодом </w:t>
      </w:r>
      <w:hyperlink r:id="rId46" w:history="1">
        <w:r>
          <w:rPr>
            <w:rFonts w:ascii="Calibri" w:hAnsi="Calibri" w:cs="Calibri"/>
            <w:color w:val="0000FF"/>
          </w:rPr>
          <w:t>Z80</w:t>
        </w:r>
      </w:hyperlink>
      <w:r>
        <w:rPr>
          <w:rFonts w:ascii="Calibri" w:hAnsi="Calibri" w:cs="Calibri"/>
        </w:rPr>
        <w:t>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Отягощенная наследственность по хроническим болезням нижних дыхательных путей - наличие у близких родственников в молодом или среднем возрасте (кодируется по МКБ-10 кодом </w:t>
      </w:r>
      <w:hyperlink r:id="rId47" w:history="1">
        <w:r>
          <w:rPr>
            <w:rFonts w:ascii="Calibri" w:hAnsi="Calibri" w:cs="Calibri"/>
            <w:color w:val="0000FF"/>
          </w:rPr>
          <w:t>Z82.5</w:t>
        </w:r>
      </w:hyperlink>
      <w:r>
        <w:rPr>
          <w:rFonts w:ascii="Calibri" w:hAnsi="Calibri" w:cs="Calibri"/>
        </w:rPr>
        <w:t>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Отягощенная наследственность по сахарному диабету - наличие у близких родственников в молодом или среднем возрасте (кодируется по МКБ-10 кодом </w:t>
      </w:r>
      <w:hyperlink r:id="rId48" w:history="1">
        <w:r>
          <w:rPr>
            <w:rFonts w:ascii="Calibri" w:hAnsi="Calibri" w:cs="Calibri"/>
            <w:color w:val="0000FF"/>
          </w:rPr>
          <w:t>Z83.3</w:t>
        </w:r>
      </w:hyperlink>
      <w:r>
        <w:rPr>
          <w:rFonts w:ascii="Calibri" w:hAnsi="Calibri" w:cs="Calibri"/>
        </w:rPr>
        <w:t>).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Суммарный относительный сердечно-сосудистый риск устанавливается у граждан в возрасте от 21 до 39 лет, суммарный абсолютный сердечно-сосудистый риск устанавливается у граждан в возрасте от 40 до 65 лет при отсутствии у гражданина выявленных заболеваний, связанных с атеросклерозом. У граждан в возрасте старше 65 лет и у граждан, имеющих сердечно-сосудистые заболевания, сахарный диабет второго типа и хроническое заболевание почек, уровень суммарного абсолютного сердечно-сосудистого риска является очень высоким и по шкале суммарного риска не рассчитывается. При отнесении граждан ко II группе состояния здоровья учитывается только величина абсолютного суммарного сердечно-сосудистого риска.</w:t>
      </w: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6E0F0D" w:rsidRDefault="006E0F0D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EF3A52" w:rsidRDefault="00EF3A52">
      <w:bookmarkStart w:id="19" w:name="_GoBack"/>
      <w:bookmarkEnd w:id="19"/>
    </w:p>
    <w:sectPr w:rsidR="00EF3A52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F0D"/>
    <w:rsid w:val="006E0F0D"/>
    <w:rsid w:val="00EF3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DEAA01-CE21-4F56-997D-BFC188ABC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0F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6E0F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6E0F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6E0F0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A394CDE233DC03AD389930D9BE89155C8662111226DCF447EC8E3FA7988B04B368E361CE68D0A6D5Z4B9F" TargetMode="External"/><Relationship Id="rId18" Type="http://schemas.openxmlformats.org/officeDocument/2006/relationships/hyperlink" Target="consultantplus://offline/ref=A394CDE233DC03AD389930D9BE89155C8664191725DFF447EC8E3FA7988B04B368E361CE68D0A6D3Z4B8F" TargetMode="External"/><Relationship Id="rId26" Type="http://schemas.openxmlformats.org/officeDocument/2006/relationships/hyperlink" Target="consultantplus://offline/ref=A394CDE233DC03AD389930D9BE89155C8661161620D9F447EC8E3FA7988B04B368E361CE68D0A5DAZ4B9F" TargetMode="External"/><Relationship Id="rId39" Type="http://schemas.openxmlformats.org/officeDocument/2006/relationships/hyperlink" Target="consultantplus://offline/ref=A394CDE233DC03AD389931DDAD89155C866F19142C8BA345BDDB31A290DB4CA326A668C66DD8ZAB6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394CDE233DC03AD389930D9BE89155C8661171D2ED9F447EC8E3FA7988B04B368E361CE68D0A6D2Z4B7F" TargetMode="External"/><Relationship Id="rId34" Type="http://schemas.openxmlformats.org/officeDocument/2006/relationships/hyperlink" Target="consultantplus://offline/ref=A394CDE233DC03AD389931DDAD89155C866F19142C8BA345BDDB31ZAB2F" TargetMode="External"/><Relationship Id="rId42" Type="http://schemas.openxmlformats.org/officeDocument/2006/relationships/hyperlink" Target="consultantplus://offline/ref=A394CDE233DC03AD389931DDAD89155C866F19142C8BA345BDDB31A290DB4CA326A669CA61D9ZAB3F" TargetMode="External"/><Relationship Id="rId47" Type="http://schemas.openxmlformats.org/officeDocument/2006/relationships/hyperlink" Target="consultantplus://offline/ref=A394CDE233DC03AD389931DDAD89155C866F19142C8BA345BDDB31A290DB4CA326A669C969D3ZABEF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A394CDE233DC03AD389930D9BE89155C8661161620D9F447EC8E3FA7988B04B368E361CE68D0A2DBZ4B8F" TargetMode="External"/><Relationship Id="rId12" Type="http://schemas.openxmlformats.org/officeDocument/2006/relationships/hyperlink" Target="consultantplus://offline/ref=A394CDE233DC03AD389930D9BE89155C8661181C27DEF447EC8E3FA7988B04B368E361CE68D5AFD3Z4B5F" TargetMode="External"/><Relationship Id="rId17" Type="http://schemas.openxmlformats.org/officeDocument/2006/relationships/hyperlink" Target="consultantplus://offline/ref=A394CDE233DC03AD389930D9BE89155C8661161620D9F447EC8E3FA7988B04B368E361CE68D0A4D6Z4B3F" TargetMode="External"/><Relationship Id="rId25" Type="http://schemas.openxmlformats.org/officeDocument/2006/relationships/hyperlink" Target="consultantplus://offline/ref=A394CDE233DC03AD389930D9BE89155C8662111226DCF447EC8E3FA7988B04B368E361CE68D0A6D3Z4B4F" TargetMode="External"/><Relationship Id="rId33" Type="http://schemas.openxmlformats.org/officeDocument/2006/relationships/hyperlink" Target="consultantplus://offline/ref=A394CDE233DC03AD389931DDAD89155C866F19142C8BA345BDDB31A290DB4CA326A668C668D4ZAB5F" TargetMode="External"/><Relationship Id="rId38" Type="http://schemas.openxmlformats.org/officeDocument/2006/relationships/hyperlink" Target="consultantplus://offline/ref=A394CDE233DC03AD389931DDAD89155C866F19142C8BA345BDDB31A290DB4CA326A669C968D0ZAB2F" TargetMode="External"/><Relationship Id="rId46" Type="http://schemas.openxmlformats.org/officeDocument/2006/relationships/hyperlink" Target="consultantplus://offline/ref=A394CDE233DC03AD389931DDAD89155C866F19142C8BA345BDDB31A290DB4CA326A66ECB69D5ZAB0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394CDE233DC03AD389930D9BE89155C8661171323DAF447EC8E3FA7988B04B368E361CE68D0A7D5Z4B8F" TargetMode="External"/><Relationship Id="rId20" Type="http://schemas.openxmlformats.org/officeDocument/2006/relationships/hyperlink" Target="consultantplus://offline/ref=A394CDE233DC03AD389930D9BE89155C8661161620D9F447EC8E3FA7988B04B368E361CE68D1A6D2Z4B7F" TargetMode="External"/><Relationship Id="rId29" Type="http://schemas.openxmlformats.org/officeDocument/2006/relationships/hyperlink" Target="consultantplus://offline/ref=A394CDE233DC03AD389930D9BE89155C8661151C21DEF447EC8E3FA7988B04B368E361CE68D0A6D7Z4B3F" TargetMode="External"/><Relationship Id="rId41" Type="http://schemas.openxmlformats.org/officeDocument/2006/relationships/hyperlink" Target="consultantplus://offline/ref=A394CDE233DC03AD389931DDAD89155C866F19142C8BA345BDDB31A290DB4CA326A669C968D0ZAB5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394CDE233DC03AD389930D9BE89155C8662141322DCF447EC8E3FA798Z8BBF" TargetMode="External"/><Relationship Id="rId11" Type="http://schemas.openxmlformats.org/officeDocument/2006/relationships/hyperlink" Target="consultantplus://offline/ref=A394CDE233DC03AD389930D9BE89155C8661121020DCF447EC8E3FA7988B04B368E361CE68D0A2D6Z4B9F" TargetMode="External"/><Relationship Id="rId24" Type="http://schemas.openxmlformats.org/officeDocument/2006/relationships/hyperlink" Target="consultantplus://offline/ref=A394CDE233DC03AD389930D9BE89155C8662111226DCF447EC8E3FA7988B04B368E361CE68D0A6D3Z4B2F" TargetMode="External"/><Relationship Id="rId32" Type="http://schemas.openxmlformats.org/officeDocument/2006/relationships/hyperlink" Target="consultantplus://offline/ref=A394CDE233DC03AD389931DDAD89155C866F19142C8BA345BDDB31A290DB4CA326A66CC869D8ZAB6F" TargetMode="External"/><Relationship Id="rId37" Type="http://schemas.openxmlformats.org/officeDocument/2006/relationships/hyperlink" Target="consultantplus://offline/ref=A394CDE233DC03AD389931DDAD89155C866F19142C8BA345BDDB31A290DB4CA326A669CA61D9ZAB5F" TargetMode="External"/><Relationship Id="rId40" Type="http://schemas.openxmlformats.org/officeDocument/2006/relationships/hyperlink" Target="consultantplus://offline/ref=A394CDE233DC03AD389931DDAD89155C866F19142C8BA345BDDB31A290DB4CA326A66CCB6AD1ZABFF" TargetMode="External"/><Relationship Id="rId45" Type="http://schemas.openxmlformats.org/officeDocument/2006/relationships/hyperlink" Target="consultantplus://offline/ref=A394CDE233DC03AD389931DDAD89155C866F19142C8BA345BDDB31A290DB4CA326A669C969D3ZAB3F" TargetMode="External"/><Relationship Id="rId5" Type="http://schemas.openxmlformats.org/officeDocument/2006/relationships/hyperlink" Target="consultantplus://offline/ref=A394CDE233DC03AD389930D9BE89155C8661161620D9F447EC8E3FA7988B04B368E361CE68D1A7D5Z4B2F" TargetMode="External"/><Relationship Id="rId15" Type="http://schemas.openxmlformats.org/officeDocument/2006/relationships/hyperlink" Target="consultantplus://offline/ref=A394CDE233DC03AD389930D9BE89155C8E6F161326D6A94DE4D733A59F845BA46FAA6DCF68D0A6ZDB7F" TargetMode="External"/><Relationship Id="rId23" Type="http://schemas.openxmlformats.org/officeDocument/2006/relationships/hyperlink" Target="consultantplus://offline/ref=A394CDE233DC03AD389930D9BE89155C8665121520DCF447EC8E3FA7988B04B368E361CE68D0A4DAZ4B6F" TargetMode="External"/><Relationship Id="rId28" Type="http://schemas.openxmlformats.org/officeDocument/2006/relationships/hyperlink" Target="consultantplus://offline/ref=A394CDE233DC03AD389930D9BE89155C8661171D2ED9F447EC8E3FA7988B04B368E361CE68D0A6D2Z4B7F" TargetMode="External"/><Relationship Id="rId36" Type="http://schemas.openxmlformats.org/officeDocument/2006/relationships/hyperlink" Target="consultantplus://offline/ref=A394CDE233DC03AD389931DDAD89155C866F19142C8BA345BDDB31A290DB4CA326A668C66ED4ZAB0F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A394CDE233DC03AD389930D9BE89155C8661121020DCF447EC8E3FA7988B04B368E361CE68D0A5DAZ4B9F" TargetMode="External"/><Relationship Id="rId19" Type="http://schemas.openxmlformats.org/officeDocument/2006/relationships/hyperlink" Target="consultantplus://offline/ref=A394CDE233DC03AD389930D9BE89155C8661171D2ED9F447EC8E3FA7988B04B368E361CE68D0A6D2Z4B7F" TargetMode="External"/><Relationship Id="rId31" Type="http://schemas.openxmlformats.org/officeDocument/2006/relationships/hyperlink" Target="consultantplus://offline/ref=A394CDE233DC03AD389931DDAD89155C866F19142C8BA345BDDB31A290DB4CA326A66CC869D3ZAB5F" TargetMode="External"/><Relationship Id="rId44" Type="http://schemas.openxmlformats.org/officeDocument/2006/relationships/hyperlink" Target="consultantplus://offline/ref=A394CDE233DC03AD389931DDAD89155C866F19142C8BA345BDDB31A290DB4CA326A669C969D3ZAB0F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394CDE233DC03AD389930D9BE89155C8661121020DCF447EC8E3FA7988B04B368E361CE68D0A2D6Z4B3F" TargetMode="External"/><Relationship Id="rId14" Type="http://schemas.openxmlformats.org/officeDocument/2006/relationships/hyperlink" Target="consultantplus://offline/ref=A394CDE233DC03AD389930D9BE89155C8662151725D5F447EC8E3FA798Z8BBF" TargetMode="External"/><Relationship Id="rId22" Type="http://schemas.openxmlformats.org/officeDocument/2006/relationships/hyperlink" Target="consultantplus://offline/ref=A394CDE233DC03AD389930D9BE89155C8661161620D9F447EC8E3FA7988B04B368E361CE68D1A6D2Z4B7F" TargetMode="External"/><Relationship Id="rId27" Type="http://schemas.openxmlformats.org/officeDocument/2006/relationships/hyperlink" Target="consultantplus://offline/ref=A394CDE233DC03AD389930D9BE89155C8661161620D9F447EC8E3FA7988B04B368E361CE68ZDB8F" TargetMode="External"/><Relationship Id="rId30" Type="http://schemas.openxmlformats.org/officeDocument/2006/relationships/hyperlink" Target="consultantplus://offline/ref=A394CDE233DC03AD389930D9BE89155C8662111525DDF447EC8E3FA7988B04B368E361CE68D0A6D4Z4B0F" TargetMode="External"/><Relationship Id="rId35" Type="http://schemas.openxmlformats.org/officeDocument/2006/relationships/hyperlink" Target="consultantplus://offline/ref=A394CDE233DC03AD389931DDAD89155C866F19142C8BA345BDDB31A290DB4CA326A66CCB6BD4ZAB4F" TargetMode="External"/><Relationship Id="rId43" Type="http://schemas.openxmlformats.org/officeDocument/2006/relationships/hyperlink" Target="consultantplus://offline/ref=A394CDE233DC03AD389931DDAD89155C866F19142C8BA345BDDB31A290DB4CA326A669CA61D9ZAB1F" TargetMode="External"/><Relationship Id="rId48" Type="http://schemas.openxmlformats.org/officeDocument/2006/relationships/hyperlink" Target="consultantplus://offline/ref=A394CDE233DC03AD389931DDAD89155C866F19142C8BA345BDDB31A290DB4CA326A669C969D5ZAB3F" TargetMode="External"/><Relationship Id="rId8" Type="http://schemas.openxmlformats.org/officeDocument/2006/relationships/hyperlink" Target="consultantplus://offline/ref=A394CDE233DC03AD389930D9BE89155C8661121020DCF447EC8E3FA7988B04B368E361CE68D0A6D0Z4B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8990</Words>
  <Characters>51249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2015-05-20T05:01:00Z</dcterms:created>
  <dcterms:modified xsi:type="dcterms:W3CDTF">2015-05-20T05:01:00Z</dcterms:modified>
</cp:coreProperties>
</file>